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E1B8" w14:textId="77777777" w:rsidR="00334C00" w:rsidRPr="00EB6B96" w:rsidRDefault="00334C00" w:rsidP="00FD2626">
      <w:pPr>
        <w:tabs>
          <w:tab w:val="left" w:pos="9630"/>
        </w:tabs>
        <w:ind w:right="27"/>
        <w:jc w:val="left"/>
        <w:rPr>
          <w:rFonts w:asciiTheme="minorHAnsi" w:hAnsiTheme="minorHAnsi" w:cstheme="minorHAnsi"/>
        </w:rPr>
      </w:pPr>
      <w:bookmarkStart w:id="0" w:name="_Hlk151841693"/>
      <w:bookmarkStart w:id="1" w:name="_Hlk151840569"/>
    </w:p>
    <w:p w14:paraId="387918B2" w14:textId="1BFE1A42" w:rsidR="007F6410" w:rsidRPr="00234146" w:rsidRDefault="00CD599C" w:rsidP="00FD2626">
      <w:pPr>
        <w:pStyle w:val="Heading1"/>
        <w:tabs>
          <w:tab w:val="left" w:pos="9630"/>
        </w:tabs>
        <w:spacing w:after="0"/>
        <w:ind w:right="27"/>
        <w:jc w:val="left"/>
        <w:rPr>
          <w:rFonts w:asciiTheme="minorHAnsi" w:hAnsiTheme="minorHAnsi" w:cstheme="minorHAnsi"/>
          <w:sz w:val="32"/>
          <w:szCs w:val="32"/>
        </w:rPr>
      </w:pPr>
      <w:r w:rsidRPr="00234146">
        <w:rPr>
          <w:rFonts w:asciiTheme="minorHAnsi" w:hAnsiTheme="minorHAnsi" w:cstheme="minorHAnsi"/>
          <w:sz w:val="32"/>
          <w:szCs w:val="32"/>
        </w:rPr>
        <w:t xml:space="preserve">Title of Your </w:t>
      </w:r>
      <w:r w:rsidR="003D4093" w:rsidRPr="00234146">
        <w:rPr>
          <w:rFonts w:asciiTheme="minorHAnsi" w:hAnsiTheme="minorHAnsi" w:cstheme="minorHAnsi"/>
          <w:sz w:val="32"/>
          <w:szCs w:val="32"/>
        </w:rPr>
        <w:t>Article</w:t>
      </w:r>
    </w:p>
    <w:p w14:paraId="1B726623" w14:textId="7131E684" w:rsidR="00FC4401" w:rsidRPr="00102FED" w:rsidRDefault="00CF0A30" w:rsidP="00FD2626">
      <w:pPr>
        <w:tabs>
          <w:tab w:val="left" w:pos="9630"/>
        </w:tabs>
        <w:ind w:right="27"/>
        <w:jc w:val="left"/>
        <w:rPr>
          <w:rFonts w:asciiTheme="minorHAnsi" w:eastAsia="MS Mincho" w:hAnsiTheme="minorHAnsi" w:cstheme="minorHAnsi"/>
          <w:b/>
          <w:sz w:val="18"/>
          <w:szCs w:val="18"/>
          <w:vertAlign w:val="superscript"/>
          <w:lang w:eastAsia="ja-JP"/>
        </w:rPr>
      </w:pPr>
      <w:r w:rsidRPr="00102FED">
        <w:rPr>
          <w:rFonts w:asciiTheme="minorHAnsi" w:eastAsia="MS Mincho" w:hAnsiTheme="minorHAnsi" w:cstheme="minorHAnsi"/>
          <w:bCs/>
          <w:sz w:val="16"/>
          <w:szCs w:val="16"/>
          <w:vertAlign w:val="superscript"/>
          <w:lang w:eastAsia="ja-JP"/>
        </w:rPr>
        <w:t xml:space="preserve"> </w:t>
      </w:r>
      <w:r w:rsidR="00AB72B9" w:rsidRPr="00102FED">
        <w:rPr>
          <w:rFonts w:asciiTheme="minorHAnsi" w:eastAsia="MS Mincho" w:hAnsiTheme="minorHAnsi" w:cstheme="minorHAnsi"/>
          <w:bCs/>
          <w:sz w:val="16"/>
          <w:szCs w:val="16"/>
          <w:vertAlign w:val="superscript"/>
          <w:lang w:eastAsia="ja-JP"/>
        </w:rPr>
        <w:t xml:space="preserve">1 </w:t>
      </w:r>
      <w:r w:rsidR="00CD599C" w:rsidRPr="00102FED">
        <w:rPr>
          <w:rFonts w:asciiTheme="minorHAnsi" w:eastAsia="MS Mincho" w:hAnsiTheme="minorHAnsi" w:cstheme="minorHAnsi"/>
          <w:bCs/>
          <w:sz w:val="16"/>
          <w:szCs w:val="16"/>
          <w:highlight w:val="yellow"/>
          <w:lang w:eastAsia="ja-JP"/>
        </w:rPr>
        <w:t>Assoc. Prof. Dr.</w:t>
      </w:r>
      <w:r w:rsidR="00CD599C" w:rsidRPr="00102FED">
        <w:rPr>
          <w:rFonts w:asciiTheme="minorHAnsi" w:eastAsia="MS Mincho" w:hAnsiTheme="minorHAnsi" w:cstheme="minorHAnsi"/>
          <w:b/>
          <w:sz w:val="18"/>
          <w:szCs w:val="18"/>
          <w:lang w:eastAsia="ja-JP"/>
        </w:rPr>
        <w:t xml:space="preserve"> </w:t>
      </w:r>
      <w:r w:rsidR="00222966" w:rsidRPr="00102FED">
        <w:rPr>
          <w:rFonts w:asciiTheme="minorHAnsi" w:eastAsia="MS Mincho" w:hAnsiTheme="minorHAnsi" w:cstheme="minorHAnsi"/>
          <w:b/>
          <w:sz w:val="18"/>
          <w:szCs w:val="18"/>
          <w:lang w:eastAsia="ja-JP"/>
        </w:rPr>
        <w:t>Name</w:t>
      </w:r>
      <w:r w:rsidR="00CD599C" w:rsidRPr="00102FED">
        <w:rPr>
          <w:rFonts w:asciiTheme="minorHAnsi" w:eastAsia="MS Mincho" w:hAnsiTheme="minorHAnsi" w:cstheme="minorHAnsi"/>
          <w:b/>
          <w:sz w:val="18"/>
          <w:szCs w:val="18"/>
          <w:lang w:eastAsia="ja-JP"/>
        </w:rPr>
        <w:t xml:space="preserve"> </w:t>
      </w:r>
      <w:proofErr w:type="gramStart"/>
      <w:r w:rsidR="00222966" w:rsidRPr="00102FED">
        <w:rPr>
          <w:rFonts w:asciiTheme="minorHAnsi" w:eastAsia="MS Mincho" w:hAnsiTheme="minorHAnsi" w:cstheme="minorHAnsi"/>
          <w:b/>
          <w:sz w:val="18"/>
          <w:szCs w:val="18"/>
          <w:lang w:eastAsia="ja-JP"/>
        </w:rPr>
        <w:t>Surname,</w:t>
      </w:r>
      <w:r w:rsidR="00FC4401" w:rsidRPr="00102FED">
        <w:rPr>
          <w:rFonts w:asciiTheme="minorHAnsi" w:eastAsia="MS Mincho" w:hAnsiTheme="minorHAnsi" w:cstheme="minorHAnsi"/>
          <w:b/>
          <w:sz w:val="18"/>
          <w:szCs w:val="18"/>
          <w:lang w:eastAsia="ja-JP"/>
        </w:rPr>
        <w:t xml:space="preserve"> </w:t>
      </w:r>
      <w:r w:rsidR="00FC4401" w:rsidRPr="00102FED">
        <w:rPr>
          <w:rFonts w:asciiTheme="minorHAnsi" w:eastAsia="MS Mincho" w:hAnsiTheme="minorHAnsi" w:cstheme="minorHAnsi"/>
          <w:b/>
          <w:sz w:val="18"/>
          <w:szCs w:val="18"/>
          <w:vertAlign w:val="superscript"/>
          <w:lang w:eastAsia="ja-JP"/>
        </w:rPr>
        <w:t xml:space="preserve"> </w:t>
      </w:r>
      <w:r w:rsidR="00AB72B9" w:rsidRPr="00102FED">
        <w:rPr>
          <w:rFonts w:asciiTheme="minorHAnsi" w:eastAsia="MS Mincho" w:hAnsiTheme="minorHAnsi" w:cstheme="minorHAnsi"/>
          <w:bCs/>
          <w:sz w:val="16"/>
          <w:szCs w:val="16"/>
          <w:vertAlign w:val="superscript"/>
          <w:lang w:eastAsia="ja-JP"/>
        </w:rPr>
        <w:t>2</w:t>
      </w:r>
      <w:proofErr w:type="gramEnd"/>
      <w:r w:rsidR="00AB72B9" w:rsidRPr="00102FED">
        <w:rPr>
          <w:rFonts w:asciiTheme="minorHAnsi" w:eastAsia="MS Mincho" w:hAnsiTheme="minorHAnsi" w:cstheme="minorHAnsi"/>
          <w:b/>
          <w:sz w:val="16"/>
          <w:szCs w:val="16"/>
          <w:lang w:eastAsia="ja-JP"/>
        </w:rPr>
        <w:t xml:space="preserve"> </w:t>
      </w:r>
      <w:r w:rsidR="006215F1" w:rsidRPr="00102FED">
        <w:rPr>
          <w:rFonts w:asciiTheme="minorHAnsi" w:eastAsia="MS Mincho" w:hAnsiTheme="minorHAnsi" w:cstheme="minorHAnsi"/>
          <w:bCs/>
          <w:sz w:val="16"/>
          <w:szCs w:val="16"/>
          <w:highlight w:val="yellow"/>
          <w:lang w:eastAsia="ja-JP"/>
        </w:rPr>
        <w:t>Prof. Dr.</w:t>
      </w:r>
      <w:r w:rsidR="006215F1" w:rsidRPr="00102FED">
        <w:rPr>
          <w:rFonts w:asciiTheme="minorHAnsi" w:eastAsia="MS Mincho" w:hAnsiTheme="minorHAnsi" w:cstheme="minorHAnsi"/>
          <w:bCs/>
          <w:sz w:val="18"/>
          <w:szCs w:val="18"/>
          <w:lang w:eastAsia="ja-JP"/>
        </w:rPr>
        <w:t xml:space="preserve"> </w:t>
      </w:r>
      <w:r w:rsidR="00222966" w:rsidRPr="00102FED">
        <w:rPr>
          <w:rFonts w:asciiTheme="minorHAnsi" w:eastAsia="MS Mincho" w:hAnsiTheme="minorHAnsi" w:cstheme="minorHAnsi"/>
          <w:b/>
          <w:sz w:val="18"/>
          <w:szCs w:val="18"/>
          <w:lang w:eastAsia="ja-JP"/>
        </w:rPr>
        <w:t>Name</w:t>
      </w:r>
      <w:r w:rsidR="008465F0" w:rsidRPr="00102FED">
        <w:rPr>
          <w:rFonts w:asciiTheme="minorHAnsi" w:eastAsia="MS Mincho" w:hAnsiTheme="minorHAnsi" w:cstheme="minorHAnsi"/>
          <w:b/>
          <w:sz w:val="18"/>
          <w:szCs w:val="18"/>
          <w:lang w:eastAsia="ja-JP"/>
        </w:rPr>
        <w:t xml:space="preserve"> </w:t>
      </w:r>
      <w:proofErr w:type="gramStart"/>
      <w:r w:rsidR="00222966" w:rsidRPr="00102FED">
        <w:rPr>
          <w:rFonts w:asciiTheme="minorHAnsi" w:eastAsia="MS Mincho" w:hAnsiTheme="minorHAnsi" w:cstheme="minorHAnsi"/>
          <w:b/>
          <w:sz w:val="18"/>
          <w:szCs w:val="18"/>
          <w:lang w:eastAsia="ja-JP"/>
        </w:rPr>
        <w:t>Surname</w:t>
      </w:r>
      <w:r w:rsidR="00EC554B" w:rsidRPr="00102FED">
        <w:rPr>
          <w:rFonts w:asciiTheme="minorHAnsi" w:eastAsia="MS Mincho" w:hAnsiTheme="minorHAnsi" w:cstheme="minorHAnsi"/>
          <w:b/>
          <w:sz w:val="18"/>
          <w:szCs w:val="18"/>
          <w:lang w:eastAsia="ja-JP"/>
        </w:rPr>
        <w:t xml:space="preserve"> </w:t>
      </w:r>
      <w:r w:rsidR="002313F8" w:rsidRPr="00102FED">
        <w:rPr>
          <w:rFonts w:asciiTheme="minorHAnsi" w:eastAsia="MS Mincho" w:hAnsiTheme="minorHAnsi" w:cstheme="minorHAnsi"/>
          <w:bCs/>
          <w:sz w:val="18"/>
          <w:szCs w:val="18"/>
          <w:lang w:eastAsia="ja-JP"/>
        </w:rPr>
        <w:t>,</w:t>
      </w:r>
      <w:proofErr w:type="gramEnd"/>
      <w:r w:rsidR="00FC4401" w:rsidRPr="00102FED">
        <w:rPr>
          <w:rFonts w:asciiTheme="minorHAnsi" w:eastAsia="MS Mincho" w:hAnsiTheme="minorHAnsi" w:cstheme="minorHAnsi"/>
          <w:b/>
          <w:sz w:val="18"/>
          <w:szCs w:val="18"/>
          <w:lang w:eastAsia="ja-JP"/>
        </w:rPr>
        <w:t xml:space="preserve"> </w:t>
      </w:r>
      <w:r w:rsidR="00AB72B9" w:rsidRPr="00102FED">
        <w:rPr>
          <w:rFonts w:asciiTheme="minorHAnsi" w:eastAsia="MS Mincho" w:hAnsiTheme="minorHAnsi" w:cstheme="minorHAnsi"/>
          <w:bCs/>
          <w:sz w:val="16"/>
          <w:szCs w:val="16"/>
          <w:vertAlign w:val="superscript"/>
          <w:lang w:eastAsia="ja-JP"/>
        </w:rPr>
        <w:t xml:space="preserve">3 </w:t>
      </w:r>
      <w:r w:rsidR="00B779D6" w:rsidRPr="00102FED">
        <w:rPr>
          <w:rFonts w:asciiTheme="minorHAnsi" w:eastAsia="MS Mincho" w:hAnsiTheme="minorHAnsi" w:cstheme="minorHAnsi"/>
          <w:bCs/>
          <w:sz w:val="16"/>
          <w:szCs w:val="16"/>
          <w:highlight w:val="yellow"/>
          <w:lang w:eastAsia="ja-JP"/>
        </w:rPr>
        <w:t>Ph.D. Candidate</w:t>
      </w:r>
      <w:r w:rsidR="00FC4401" w:rsidRPr="00102FED">
        <w:rPr>
          <w:rFonts w:asciiTheme="minorHAnsi" w:eastAsia="MS Mincho" w:hAnsiTheme="minorHAnsi" w:cstheme="minorHAnsi"/>
          <w:b/>
          <w:sz w:val="18"/>
          <w:szCs w:val="18"/>
          <w:lang w:eastAsia="ja-JP"/>
        </w:rPr>
        <w:t xml:space="preserve"> </w:t>
      </w:r>
      <w:r w:rsidR="00222966" w:rsidRPr="00102FED">
        <w:rPr>
          <w:rFonts w:asciiTheme="minorHAnsi" w:eastAsia="MS Mincho" w:hAnsiTheme="minorHAnsi" w:cstheme="minorHAnsi"/>
          <w:b/>
          <w:sz w:val="18"/>
          <w:szCs w:val="18"/>
          <w:lang w:eastAsia="ja-JP"/>
        </w:rPr>
        <w:t>Name Surname</w:t>
      </w:r>
    </w:p>
    <w:p w14:paraId="48AF1151" w14:textId="77777777" w:rsidR="00B813B1" w:rsidRPr="00102FED" w:rsidRDefault="00B813B1" w:rsidP="00FD2626">
      <w:pPr>
        <w:autoSpaceDE w:val="0"/>
        <w:autoSpaceDN w:val="0"/>
        <w:adjustRightInd w:val="0"/>
        <w:jc w:val="left"/>
        <w:rPr>
          <w:rFonts w:asciiTheme="minorHAnsi" w:eastAsia="Times New Roman" w:hAnsiTheme="minorHAnsi" w:cstheme="minorHAnsi"/>
          <w:sz w:val="18"/>
          <w:szCs w:val="18"/>
          <w:lang w:val="it-IT" w:eastAsia="ar-SA"/>
        </w:rPr>
      </w:pPr>
      <w:r w:rsidRPr="00102FED">
        <w:rPr>
          <w:rFonts w:asciiTheme="minorHAnsi" w:eastAsia="Times New Roman" w:hAnsiTheme="minorHAnsi" w:cstheme="minorHAnsi"/>
          <w:color w:val="000000" w:themeColor="text1"/>
          <w:sz w:val="18"/>
          <w:szCs w:val="18"/>
          <w:vertAlign w:val="superscript"/>
        </w:rPr>
        <w:t xml:space="preserve">1, 2, &amp; 3 </w:t>
      </w:r>
      <w:r w:rsidRPr="00102FED">
        <w:rPr>
          <w:rFonts w:asciiTheme="minorHAnsi" w:eastAsia="Times New Roman" w:hAnsiTheme="minorHAnsi" w:cstheme="minorHAnsi"/>
          <w:sz w:val="18"/>
          <w:szCs w:val="18"/>
          <w:lang w:val="it-IT" w:eastAsia="ar-SA"/>
        </w:rPr>
        <w:t xml:space="preserve">Department of XXX, Faculty of XXX, University of XXX, Country </w:t>
      </w:r>
    </w:p>
    <w:p w14:paraId="7F383D71" w14:textId="77777777" w:rsidR="00B813B1" w:rsidRPr="00102FED" w:rsidRDefault="00B813B1" w:rsidP="00FD2626">
      <w:pPr>
        <w:autoSpaceDE w:val="0"/>
        <w:autoSpaceDN w:val="0"/>
        <w:adjustRightInd w:val="0"/>
        <w:jc w:val="left"/>
        <w:rPr>
          <w:rFonts w:asciiTheme="minorHAnsi" w:eastAsia="Times New Roman" w:hAnsiTheme="minorHAnsi" w:cstheme="minorHAnsi"/>
          <w:sz w:val="18"/>
          <w:szCs w:val="18"/>
          <w:lang w:val="it-IT" w:eastAsia="ar-SA"/>
        </w:rPr>
      </w:pPr>
      <w:proofErr w:type="gramStart"/>
      <w:r w:rsidRPr="00102FED">
        <w:rPr>
          <w:rFonts w:asciiTheme="minorHAnsi" w:eastAsia="Times New Roman" w:hAnsiTheme="minorHAnsi" w:cstheme="minorHAnsi"/>
          <w:color w:val="000000" w:themeColor="text1"/>
          <w:sz w:val="18"/>
          <w:szCs w:val="18"/>
          <w:vertAlign w:val="superscript"/>
        </w:rPr>
        <w:t xml:space="preserve">4  </w:t>
      </w:r>
      <w:r w:rsidRPr="00102FED">
        <w:rPr>
          <w:rFonts w:asciiTheme="minorHAnsi" w:eastAsia="Times New Roman" w:hAnsiTheme="minorHAnsi" w:cstheme="minorHAnsi"/>
          <w:sz w:val="18"/>
          <w:szCs w:val="18"/>
          <w:lang w:val="it-IT" w:eastAsia="ar-SA"/>
        </w:rPr>
        <w:t>Department</w:t>
      </w:r>
      <w:proofErr w:type="gramEnd"/>
      <w:r w:rsidRPr="00102FED">
        <w:rPr>
          <w:rFonts w:asciiTheme="minorHAnsi" w:eastAsia="Times New Roman" w:hAnsiTheme="minorHAnsi" w:cstheme="minorHAnsi"/>
          <w:sz w:val="18"/>
          <w:szCs w:val="18"/>
          <w:lang w:val="it-IT" w:eastAsia="ar-SA"/>
        </w:rPr>
        <w:t xml:space="preserve"> of XXX, Faculty of XXX, University of XXX, Country </w:t>
      </w:r>
    </w:p>
    <w:p w14:paraId="72026ADB" w14:textId="77777777" w:rsidR="00B76CA6" w:rsidRPr="00102FED" w:rsidRDefault="00B76CA6" w:rsidP="00FD2626">
      <w:pPr>
        <w:autoSpaceDE w:val="0"/>
        <w:autoSpaceDN w:val="0"/>
        <w:adjustRightInd w:val="0"/>
        <w:jc w:val="left"/>
        <w:rPr>
          <w:rFonts w:asciiTheme="minorHAnsi" w:eastAsia="Times New Roman" w:hAnsiTheme="minorHAnsi" w:cstheme="minorHAnsi"/>
          <w:color w:val="000000" w:themeColor="text1"/>
          <w:sz w:val="18"/>
          <w:szCs w:val="18"/>
          <w:lang w:val="de-DE"/>
        </w:rPr>
      </w:pPr>
      <w:r w:rsidRPr="00102FED">
        <w:rPr>
          <w:rFonts w:asciiTheme="minorHAnsi" w:eastAsia="Times New Roman" w:hAnsiTheme="minorHAnsi" w:cstheme="minorHAnsi"/>
          <w:color w:val="000000" w:themeColor="text1"/>
          <w:sz w:val="18"/>
          <w:szCs w:val="18"/>
          <w:vertAlign w:val="superscript"/>
          <w:lang w:val="it-IT" w:eastAsia="ar-SA"/>
        </w:rPr>
        <w:t xml:space="preserve">1 </w:t>
      </w:r>
      <w:r w:rsidRPr="00102FED">
        <w:rPr>
          <w:rFonts w:asciiTheme="minorHAnsi" w:eastAsia="Times New Roman" w:hAnsiTheme="minorHAnsi" w:cstheme="minorHAnsi"/>
          <w:color w:val="000000" w:themeColor="text1"/>
          <w:sz w:val="18"/>
          <w:szCs w:val="18"/>
          <w:lang w:val="it-IT" w:eastAsia="ar-SA"/>
        </w:rPr>
        <w:t>E-mail:</w:t>
      </w:r>
      <w:r w:rsidRPr="00102FED">
        <w:rPr>
          <w:rFonts w:asciiTheme="minorHAnsi" w:eastAsia="Times New Roman" w:hAnsiTheme="minorHAnsi" w:cstheme="minorHAnsi"/>
          <w:color w:val="000000" w:themeColor="text1"/>
          <w:sz w:val="18"/>
          <w:szCs w:val="18"/>
          <w:lang w:val="de-DE"/>
        </w:rPr>
        <w:t xml:space="preserve"> </w:t>
      </w:r>
      <w:r w:rsidRPr="00102FED">
        <w:rPr>
          <w:rFonts w:asciiTheme="minorHAnsi" w:eastAsia="Times New Roman" w:hAnsiTheme="minorHAnsi" w:cstheme="minorHAnsi"/>
          <w:color w:val="000000" w:themeColor="text1"/>
          <w:sz w:val="18"/>
          <w:szCs w:val="18"/>
          <w:lang w:val="it-IT" w:eastAsia="ar-SA"/>
        </w:rPr>
        <w:t>xxx.xxx@xxx.xxx</w:t>
      </w:r>
      <w:r w:rsidRPr="00102FED">
        <w:rPr>
          <w:rFonts w:asciiTheme="minorHAnsi" w:eastAsia="Times New Roman" w:hAnsiTheme="minorHAnsi" w:cstheme="minorHAnsi"/>
          <w:color w:val="000000" w:themeColor="text1"/>
          <w:sz w:val="18"/>
          <w:szCs w:val="18"/>
          <w:lang w:val="de-DE"/>
        </w:rPr>
        <w:t xml:space="preserve"> </w:t>
      </w:r>
      <w:r w:rsidRPr="00102FED">
        <w:rPr>
          <w:rFonts w:asciiTheme="minorHAnsi" w:eastAsia="PMingLiU" w:hAnsiTheme="minorHAnsi" w:cstheme="minorHAnsi"/>
          <w:color w:val="000000" w:themeColor="text1"/>
          <w:sz w:val="18"/>
          <w:szCs w:val="18"/>
          <w:lang w:val="de-DE"/>
        </w:rPr>
        <w:t xml:space="preserve"> </w:t>
      </w:r>
      <w:r w:rsidRPr="00102FED">
        <w:rPr>
          <w:rFonts w:asciiTheme="minorHAnsi" w:eastAsia="Times New Roman" w:hAnsiTheme="minorHAnsi" w:cstheme="minorHAnsi"/>
          <w:color w:val="000000" w:themeColor="text1"/>
          <w:sz w:val="18"/>
          <w:szCs w:val="18"/>
          <w:lang w:val="de-DE"/>
        </w:rPr>
        <w:t xml:space="preserve">, </w:t>
      </w:r>
      <w:r w:rsidRPr="00102FED">
        <w:rPr>
          <w:rFonts w:asciiTheme="minorHAnsi" w:eastAsia="Times New Roman" w:hAnsiTheme="minorHAnsi" w:cstheme="minorHAnsi"/>
          <w:color w:val="000000" w:themeColor="text1"/>
          <w:sz w:val="18"/>
          <w:szCs w:val="18"/>
          <w:vertAlign w:val="superscript"/>
          <w:lang w:val="it-IT" w:eastAsia="ar-SA"/>
        </w:rPr>
        <w:t xml:space="preserve">2 </w:t>
      </w:r>
      <w:r w:rsidRPr="00102FED">
        <w:rPr>
          <w:rFonts w:asciiTheme="minorHAnsi" w:eastAsia="Times New Roman" w:hAnsiTheme="minorHAnsi" w:cstheme="minorHAnsi"/>
          <w:color w:val="000000" w:themeColor="text1"/>
          <w:sz w:val="18"/>
          <w:szCs w:val="18"/>
          <w:lang w:val="it-IT" w:eastAsia="ar-SA"/>
        </w:rPr>
        <w:t>E-mail:</w:t>
      </w:r>
      <w:r w:rsidRPr="00102FED">
        <w:rPr>
          <w:rFonts w:asciiTheme="minorHAnsi" w:eastAsia="Times New Roman" w:hAnsiTheme="minorHAnsi" w:cstheme="minorHAnsi"/>
          <w:color w:val="000000" w:themeColor="text1"/>
          <w:sz w:val="18"/>
          <w:szCs w:val="18"/>
          <w:lang w:val="de-DE"/>
        </w:rPr>
        <w:t xml:space="preserve"> </w:t>
      </w:r>
      <w:r w:rsidRPr="00102FED">
        <w:rPr>
          <w:rFonts w:asciiTheme="minorHAnsi" w:eastAsia="Times New Roman" w:hAnsiTheme="minorHAnsi" w:cstheme="minorHAnsi"/>
          <w:color w:val="000000" w:themeColor="text1"/>
          <w:sz w:val="18"/>
          <w:szCs w:val="18"/>
          <w:lang w:val="it-IT" w:eastAsia="ar-SA"/>
        </w:rPr>
        <w:t>xxx@xxxx</w:t>
      </w:r>
      <w:r w:rsidRPr="00102FED">
        <w:rPr>
          <w:rFonts w:asciiTheme="minorHAnsi" w:eastAsia="Times New Roman" w:hAnsiTheme="minorHAnsi" w:cstheme="minorHAnsi"/>
          <w:color w:val="000000" w:themeColor="text1"/>
          <w:sz w:val="18"/>
          <w:szCs w:val="18"/>
          <w:lang w:val="de-DE"/>
        </w:rPr>
        <w:t xml:space="preserve"> , </w:t>
      </w:r>
      <w:r w:rsidRPr="00102FED">
        <w:rPr>
          <w:rFonts w:asciiTheme="minorHAnsi" w:eastAsia="Times New Roman" w:hAnsiTheme="minorHAnsi" w:cstheme="minorHAnsi"/>
          <w:color w:val="000000" w:themeColor="text1"/>
          <w:sz w:val="18"/>
          <w:szCs w:val="18"/>
          <w:vertAlign w:val="superscript"/>
          <w:lang w:val="it-IT" w:eastAsia="ar-SA"/>
        </w:rPr>
        <w:t xml:space="preserve">3 </w:t>
      </w:r>
      <w:r w:rsidRPr="00102FED">
        <w:rPr>
          <w:rFonts w:asciiTheme="minorHAnsi" w:eastAsia="Times New Roman" w:hAnsiTheme="minorHAnsi" w:cstheme="minorHAnsi"/>
          <w:color w:val="000000" w:themeColor="text1"/>
          <w:sz w:val="18"/>
          <w:szCs w:val="18"/>
          <w:lang w:val="it-IT" w:eastAsia="ar-SA"/>
        </w:rPr>
        <w:t>E-mail: xxxxx@xxxx</w:t>
      </w:r>
      <w:r w:rsidRPr="00102FED">
        <w:rPr>
          <w:rFonts w:asciiTheme="minorHAnsi" w:eastAsia="Times New Roman" w:hAnsiTheme="minorHAnsi" w:cstheme="minorHAnsi"/>
          <w:color w:val="000000" w:themeColor="text1"/>
          <w:sz w:val="18"/>
          <w:szCs w:val="18"/>
          <w:lang w:val="de-DE"/>
        </w:rPr>
        <w:t xml:space="preserve">  </w:t>
      </w:r>
      <w:r w:rsidRPr="00102FED">
        <w:rPr>
          <w:rFonts w:asciiTheme="minorHAnsi" w:eastAsia="Times New Roman" w:hAnsiTheme="minorHAnsi" w:cstheme="minorHAnsi"/>
          <w:color w:val="000000" w:themeColor="text1"/>
          <w:sz w:val="18"/>
          <w:szCs w:val="18"/>
          <w:lang w:val="it-IT" w:eastAsia="ar-SA"/>
        </w:rPr>
        <w:t xml:space="preserve">   </w:t>
      </w:r>
    </w:p>
    <w:p w14:paraId="1EAFD6D8" w14:textId="77777777" w:rsidR="000A3922" w:rsidRPr="00B76CA6" w:rsidRDefault="000A3922" w:rsidP="0025286B">
      <w:pPr>
        <w:tabs>
          <w:tab w:val="left" w:pos="9630"/>
        </w:tabs>
        <w:ind w:right="27"/>
        <w:jc w:val="center"/>
        <w:rPr>
          <w:rFonts w:asciiTheme="minorHAnsi" w:hAnsiTheme="minorHAnsi" w:cstheme="minorHAnsi"/>
          <w:iCs/>
          <w:color w:val="000000" w:themeColor="text1"/>
          <w:sz w:val="16"/>
          <w:szCs w:val="16"/>
          <w:lang w:val="de-DE"/>
        </w:rPr>
      </w:pPr>
    </w:p>
    <w:p w14:paraId="59A37F47" w14:textId="77777777" w:rsidR="00334C00" w:rsidRPr="00EB6B96" w:rsidRDefault="00B64135" w:rsidP="006B6923">
      <w:pPr>
        <w:pStyle w:val="Heading2"/>
        <w:tabs>
          <w:tab w:val="left" w:pos="9990"/>
        </w:tabs>
        <w:spacing w:before="0"/>
        <w:ind w:right="27"/>
        <w:rPr>
          <w:rFonts w:asciiTheme="minorHAnsi" w:hAnsiTheme="minorHAnsi" w:cstheme="minorHAnsi"/>
        </w:rPr>
      </w:pPr>
      <w:r w:rsidRPr="00EB6B96">
        <w:rPr>
          <w:rFonts w:asciiTheme="minorHAnsi" w:hAnsiTheme="minorHAnsi" w:cstheme="minorHAnsi"/>
        </w:rPr>
        <w:t>Abstract</w:t>
      </w:r>
    </w:p>
    <w:p w14:paraId="1F26B9FD" w14:textId="2BFAF7E1" w:rsidR="00CF37F2" w:rsidRPr="00EB6B96" w:rsidRDefault="00103999" w:rsidP="001A09D8">
      <w:pPr>
        <w:tabs>
          <w:tab w:val="left" w:pos="9990"/>
          <w:tab w:val="left" w:pos="10080"/>
        </w:tabs>
        <w:rPr>
          <w:rFonts w:asciiTheme="minorHAnsi" w:hAnsiTheme="minorHAnsi" w:cstheme="minorHAnsi"/>
        </w:rPr>
      </w:pPr>
      <w:r>
        <w:rPr>
          <w:rFonts w:asciiTheme="minorHAnsi" w:hAnsiTheme="minorHAnsi" w:cstheme="minorHAnsi"/>
        </w:rPr>
        <w:t>Your</w:t>
      </w:r>
      <w:r w:rsidR="00EB6CFD" w:rsidRPr="00EB6B96">
        <w:rPr>
          <w:rFonts w:asciiTheme="minorHAnsi" w:hAnsiTheme="minorHAnsi" w:cstheme="minorHAnsi"/>
        </w:rPr>
        <w:t xml:space="preserve"> a</w:t>
      </w:r>
      <w:r w:rsidR="00CF37F2" w:rsidRPr="00EB6B96">
        <w:rPr>
          <w:rFonts w:asciiTheme="minorHAnsi" w:hAnsiTheme="minorHAnsi" w:cstheme="minorHAnsi"/>
        </w:rPr>
        <w:t xml:space="preserve">bstract should not exceed more than 150 words. </w:t>
      </w:r>
      <w:r>
        <w:rPr>
          <w:rFonts w:asciiTheme="minorHAnsi" w:hAnsiTheme="minorHAnsi" w:cstheme="minorHAnsi"/>
        </w:rPr>
        <w:t>It</w:t>
      </w:r>
      <w:r w:rsidR="00CF37F2" w:rsidRPr="00EB6B96">
        <w:rPr>
          <w:rFonts w:asciiTheme="minorHAnsi" w:hAnsiTheme="minorHAnsi" w:cstheme="minorHAnsi"/>
        </w:rPr>
        <w:t xml:space="preserve"> should be developed in such a way that </w:t>
      </w:r>
      <w:r w:rsidR="000C4723">
        <w:rPr>
          <w:rFonts w:asciiTheme="minorHAnsi" w:hAnsiTheme="minorHAnsi" w:cstheme="minorHAnsi"/>
        </w:rPr>
        <w:t>to</w:t>
      </w:r>
      <w:r w:rsidR="00CF37F2" w:rsidRPr="00EB6B96">
        <w:rPr>
          <w:rFonts w:asciiTheme="minorHAnsi" w:hAnsiTheme="minorHAnsi" w:cstheme="minorHAnsi"/>
        </w:rPr>
        <w:t xml:space="preserve"> highlight the aim, important aspects of the study, methodologies, principal results, major conclusions and its contributions to the field. Author names should be written as full. Abbreviations or shortened names are not acceptable. Your certificate will be distributed accordingly. It is required f</w:t>
      </w:r>
      <w:r w:rsidR="00EB6CFD" w:rsidRPr="00EB6B96">
        <w:rPr>
          <w:rFonts w:asciiTheme="minorHAnsi" w:hAnsiTheme="minorHAnsi" w:cstheme="minorHAnsi"/>
        </w:rPr>
        <w:t>or</w:t>
      </w:r>
      <w:r w:rsidR="00CF37F2" w:rsidRPr="00EB6B96">
        <w:rPr>
          <w:rFonts w:asciiTheme="minorHAnsi" w:hAnsiTheme="minorHAnsi" w:cstheme="minorHAnsi"/>
        </w:rPr>
        <w:t xml:space="preserve"> the authors to submit their abstracts in a Microsoft word .doc format. It is required f</w:t>
      </w:r>
      <w:r w:rsidR="001F634F" w:rsidRPr="00EB6B96">
        <w:rPr>
          <w:rFonts w:asciiTheme="minorHAnsi" w:hAnsiTheme="minorHAnsi" w:cstheme="minorHAnsi"/>
        </w:rPr>
        <w:t>or</w:t>
      </w:r>
      <w:r w:rsidR="00CF37F2" w:rsidRPr="00EB6B96">
        <w:rPr>
          <w:rFonts w:asciiTheme="minorHAnsi" w:hAnsiTheme="minorHAnsi" w:cstheme="minorHAnsi"/>
        </w:rPr>
        <w:t xml:space="preserve"> the authors to submit their abstracts exactly based on the given template. Academic Title should be added before the name of each individual author. Academic Title could be </w:t>
      </w:r>
      <w:proofErr w:type="gramStart"/>
      <w:r w:rsidR="00CF37F2" w:rsidRPr="00EB6B96">
        <w:rPr>
          <w:rFonts w:asciiTheme="minorHAnsi" w:hAnsiTheme="minorHAnsi" w:cstheme="minorHAnsi"/>
        </w:rPr>
        <w:t>( B.S.</w:t>
      </w:r>
      <w:proofErr w:type="gramEnd"/>
      <w:r w:rsidR="00CF37F2" w:rsidRPr="00EB6B96">
        <w:rPr>
          <w:rFonts w:asciiTheme="minorHAnsi" w:hAnsiTheme="minorHAnsi" w:cstheme="minorHAnsi"/>
        </w:rPr>
        <w:t xml:space="preserve"> , B.A., </w:t>
      </w:r>
      <w:proofErr w:type="gramStart"/>
      <w:r w:rsidR="00CF37F2" w:rsidRPr="00EB6B96">
        <w:rPr>
          <w:rFonts w:asciiTheme="minorHAnsi" w:hAnsiTheme="minorHAnsi" w:cstheme="minorHAnsi"/>
        </w:rPr>
        <w:t>M.A. ,</w:t>
      </w:r>
      <w:proofErr w:type="gramEnd"/>
      <w:r w:rsidR="00CF37F2" w:rsidRPr="00EB6B96">
        <w:rPr>
          <w:rFonts w:asciiTheme="minorHAnsi" w:hAnsiTheme="minorHAnsi" w:cstheme="minorHAnsi"/>
        </w:rPr>
        <w:t xml:space="preserve"> Ph.D. Candidate, Dr.). Make sure to copy and paste your email address. Our experience shows that typing the email address may lead to entering the wrong address. Make sure to add the email address that you are using permanently. </w:t>
      </w:r>
      <w:r w:rsidR="001F634F" w:rsidRPr="00EB6B96">
        <w:rPr>
          <w:rFonts w:asciiTheme="minorHAnsi" w:hAnsiTheme="minorHAnsi" w:cstheme="minorHAnsi"/>
        </w:rPr>
        <w:t>The F</w:t>
      </w:r>
      <w:r w:rsidR="00CF37F2" w:rsidRPr="00EB6B96">
        <w:rPr>
          <w:rFonts w:asciiTheme="minorHAnsi" w:hAnsiTheme="minorHAnsi" w:cstheme="minorHAnsi"/>
        </w:rPr>
        <w:t xml:space="preserve">ont </w:t>
      </w:r>
      <w:r w:rsidR="001F634F" w:rsidRPr="00EB6B96">
        <w:rPr>
          <w:rFonts w:asciiTheme="minorHAnsi" w:hAnsiTheme="minorHAnsi" w:cstheme="minorHAnsi"/>
        </w:rPr>
        <w:t>s</w:t>
      </w:r>
      <w:r w:rsidR="000C4723">
        <w:rPr>
          <w:rFonts w:asciiTheme="minorHAnsi" w:hAnsiTheme="minorHAnsi" w:cstheme="minorHAnsi"/>
        </w:rPr>
        <w:t>t</w:t>
      </w:r>
      <w:r w:rsidR="001F634F" w:rsidRPr="00EB6B96">
        <w:rPr>
          <w:rFonts w:asciiTheme="minorHAnsi" w:hAnsiTheme="minorHAnsi" w:cstheme="minorHAnsi"/>
        </w:rPr>
        <w:t xml:space="preserve">yle </w:t>
      </w:r>
      <w:r w:rsidR="00CF37F2" w:rsidRPr="00EB6B96">
        <w:rPr>
          <w:rFonts w:asciiTheme="minorHAnsi" w:hAnsiTheme="minorHAnsi" w:cstheme="minorHAnsi"/>
        </w:rPr>
        <w:t>of the text should be “Calibri (Body)</w:t>
      </w:r>
      <w:r>
        <w:rPr>
          <w:rFonts w:asciiTheme="minorHAnsi" w:hAnsiTheme="minorHAnsi" w:cstheme="minorHAnsi"/>
        </w:rPr>
        <w:t xml:space="preserve"> size 10</w:t>
      </w:r>
      <w:r w:rsidR="00CF37F2" w:rsidRPr="00EB6B96">
        <w:rPr>
          <w:rFonts w:asciiTheme="minorHAnsi" w:hAnsiTheme="minorHAnsi" w:cstheme="minorHAnsi"/>
        </w:rPr>
        <w:t xml:space="preserve">”. </w:t>
      </w:r>
    </w:p>
    <w:p w14:paraId="46DBB2D5" w14:textId="3D5B6DAD" w:rsidR="00334C00" w:rsidRPr="00EB6B96" w:rsidRDefault="00B64135" w:rsidP="001A09D8">
      <w:pPr>
        <w:tabs>
          <w:tab w:val="left" w:pos="9630"/>
          <w:tab w:val="left" w:pos="10080"/>
        </w:tabs>
        <w:rPr>
          <w:rFonts w:asciiTheme="minorHAnsi" w:hAnsiTheme="minorHAnsi" w:cstheme="minorHAnsi"/>
        </w:rPr>
      </w:pPr>
      <w:r w:rsidRPr="00EB6B96">
        <w:rPr>
          <w:rFonts w:asciiTheme="minorHAnsi" w:hAnsiTheme="minorHAnsi" w:cstheme="minorHAnsi"/>
          <w:b/>
          <w:iCs/>
        </w:rPr>
        <w:t>Keywords:</w:t>
      </w:r>
      <w:r w:rsidRPr="00EB6B96">
        <w:rPr>
          <w:rFonts w:asciiTheme="minorHAnsi" w:hAnsiTheme="minorHAnsi" w:cstheme="minorHAnsi"/>
          <w:b/>
          <w:i/>
        </w:rPr>
        <w:t xml:space="preserve"> </w:t>
      </w:r>
      <w:r w:rsidRPr="00EB6B96">
        <w:rPr>
          <w:rFonts w:asciiTheme="minorHAnsi" w:hAnsiTheme="minorHAnsi" w:cstheme="minorHAnsi"/>
          <w:i/>
        </w:rPr>
        <w:t xml:space="preserve"> </w:t>
      </w:r>
      <w:r w:rsidR="008E7EF8" w:rsidRPr="008E7EF8">
        <w:rPr>
          <w:rFonts w:eastAsia="Times New Roman"/>
          <w:color w:val="000000"/>
          <w:lang w:val="en-US" w:eastAsia="tr-TR"/>
        </w:rPr>
        <w:t>Keyword; Keyword; Keyword; Keyword; Keyword.</w:t>
      </w:r>
    </w:p>
    <w:p w14:paraId="282F8C19" w14:textId="77777777" w:rsidR="00334C00" w:rsidRPr="00EB6B96" w:rsidRDefault="00334C00" w:rsidP="0025286B">
      <w:pPr>
        <w:tabs>
          <w:tab w:val="left" w:pos="9630"/>
        </w:tabs>
        <w:ind w:right="27"/>
        <w:rPr>
          <w:rFonts w:asciiTheme="minorHAnsi" w:hAnsiTheme="minorHAnsi" w:cstheme="minorHAnsi"/>
        </w:rPr>
      </w:pPr>
    </w:p>
    <w:p w14:paraId="75687968" w14:textId="2AB977A4" w:rsidR="00EB6CFD" w:rsidRPr="0031794F" w:rsidRDefault="00EB6CFD" w:rsidP="0025286B">
      <w:pPr>
        <w:tabs>
          <w:tab w:val="left" w:pos="9630"/>
        </w:tabs>
        <w:ind w:right="27"/>
        <w:rPr>
          <w:rFonts w:asciiTheme="minorHAnsi" w:hAnsiTheme="minorHAnsi" w:cstheme="minorHAnsi"/>
          <w:lang w:val="en-US"/>
        </w:rPr>
        <w:sectPr w:rsidR="00EB6CFD" w:rsidRPr="0031794F" w:rsidSect="002D51F2">
          <w:headerReference w:type="default" r:id="rId8"/>
          <w:footerReference w:type="default" r:id="rId9"/>
          <w:pgSz w:w="11907" w:h="16839"/>
          <w:pgMar w:top="1008" w:right="1377" w:bottom="720" w:left="1008" w:header="432" w:footer="432" w:gutter="0"/>
          <w:pgNumType w:start="1"/>
          <w:cols w:space="720" w:equalWidth="0">
            <w:col w:w="9522"/>
          </w:cols>
          <w:docGrid w:linePitch="272"/>
        </w:sectPr>
      </w:pPr>
    </w:p>
    <w:p w14:paraId="4406776D" w14:textId="77777777" w:rsidR="00334C00" w:rsidRPr="00EB6B96" w:rsidRDefault="00B64135" w:rsidP="006B6923">
      <w:pPr>
        <w:pStyle w:val="Heading2"/>
        <w:tabs>
          <w:tab w:val="left" w:pos="10080"/>
        </w:tabs>
        <w:spacing w:before="0"/>
        <w:ind w:right="-333"/>
        <w:rPr>
          <w:rFonts w:asciiTheme="minorHAnsi" w:hAnsiTheme="minorHAnsi" w:cstheme="minorHAnsi"/>
        </w:rPr>
      </w:pPr>
      <w:bookmarkStart w:id="3" w:name="_heading=h.gjdgxs" w:colFirst="0" w:colLast="0"/>
      <w:bookmarkEnd w:id="3"/>
      <w:r w:rsidRPr="00EB6B96">
        <w:rPr>
          <w:rFonts w:asciiTheme="minorHAnsi" w:hAnsiTheme="minorHAnsi" w:cstheme="minorHAnsi"/>
        </w:rPr>
        <w:t>1. Introduction</w:t>
      </w:r>
    </w:p>
    <w:p w14:paraId="0259DB3A" w14:textId="3B6A0515" w:rsidR="007D15DB" w:rsidRPr="007D15DB" w:rsidRDefault="007D15DB" w:rsidP="001A09D8">
      <w:pPr>
        <w:tabs>
          <w:tab w:val="left" w:pos="10080"/>
        </w:tabs>
        <w:ind w:right="-24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The introduction of a scientific article serves as a roadmap for the reader, providing background information, stating the research question</w:t>
      </w:r>
      <w:r w:rsidR="001340DC">
        <w:rPr>
          <w:rFonts w:asciiTheme="minorHAnsi" w:hAnsiTheme="minorHAnsi" w:cstheme="minorHAnsi"/>
          <w:color w:val="000000" w:themeColor="text1"/>
          <w:lang w:val="en-US"/>
        </w:rPr>
        <w:t>, gap in the literature, contribution to the field</w:t>
      </w:r>
      <w:r w:rsidRPr="007D15DB">
        <w:rPr>
          <w:rFonts w:asciiTheme="minorHAnsi" w:hAnsiTheme="minorHAnsi" w:cstheme="minorHAnsi"/>
          <w:color w:val="000000" w:themeColor="text1"/>
          <w:lang w:val="en-US"/>
        </w:rPr>
        <w:t>, outlining the research approach, and summarizing the findings. Here are the requirements and structures that should be considered in the introduction of a full paper:</w:t>
      </w:r>
    </w:p>
    <w:p w14:paraId="4C3C0288" w14:textId="77777777" w:rsidR="007D15DB" w:rsidRPr="007D15DB" w:rsidRDefault="007D15DB" w:rsidP="006B6923">
      <w:pPr>
        <w:numPr>
          <w:ilvl w:val="0"/>
          <w:numId w:val="5"/>
        </w:numPr>
        <w:tabs>
          <w:tab w:val="left" w:pos="10080"/>
        </w:tabs>
        <w:ind w:right="-33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Background information: Start with a brief overview of the field, including the key concepts, theories, and research findings relevant to your study. Provide the context and rationale for the research question you are addressing.</w:t>
      </w:r>
    </w:p>
    <w:p w14:paraId="3539F9AB" w14:textId="77777777" w:rsidR="007D15DB" w:rsidRPr="007D15DB" w:rsidRDefault="007D15DB" w:rsidP="006B6923">
      <w:pPr>
        <w:numPr>
          <w:ilvl w:val="0"/>
          <w:numId w:val="5"/>
        </w:numPr>
        <w:tabs>
          <w:tab w:val="left" w:pos="10080"/>
        </w:tabs>
        <w:ind w:right="-33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Research question or hypothesis: Clearly state the main research question or hypothesis that your study is addressing. This should be concise, focused, and directly related to the research problem or gap in the literature that you are addressing.</w:t>
      </w:r>
    </w:p>
    <w:p w14:paraId="0C2BF2EF" w14:textId="77777777" w:rsidR="007D15DB" w:rsidRPr="007D15DB" w:rsidRDefault="007D15DB" w:rsidP="006B6923">
      <w:pPr>
        <w:numPr>
          <w:ilvl w:val="0"/>
          <w:numId w:val="5"/>
        </w:numPr>
        <w:tabs>
          <w:tab w:val="left" w:pos="10080"/>
        </w:tabs>
        <w:ind w:right="-33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Objectives: Outline the specific objectives of your study and how they relate to the research question or hypothesis. These objectives should be measurable and achievable within the scope of your study.</w:t>
      </w:r>
    </w:p>
    <w:p w14:paraId="0D137E30" w14:textId="77777777" w:rsidR="007D15DB" w:rsidRPr="007D15DB" w:rsidRDefault="007D15DB" w:rsidP="006B6923">
      <w:pPr>
        <w:numPr>
          <w:ilvl w:val="0"/>
          <w:numId w:val="5"/>
        </w:numPr>
        <w:tabs>
          <w:tab w:val="left" w:pos="10080"/>
        </w:tabs>
        <w:ind w:right="-33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Methodology: Provide a brief description of the research design and methods used in your study. This should include details such as the sample size, data collection methods, and data analysis techniques.</w:t>
      </w:r>
    </w:p>
    <w:p w14:paraId="3FDCB63A" w14:textId="77777777" w:rsidR="007D15DB" w:rsidRPr="007D15DB" w:rsidRDefault="007D15DB" w:rsidP="006B6923">
      <w:pPr>
        <w:numPr>
          <w:ilvl w:val="0"/>
          <w:numId w:val="5"/>
        </w:numPr>
        <w:tabs>
          <w:tab w:val="left" w:pos="10080"/>
        </w:tabs>
        <w:ind w:right="-33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Expected contribution: Explain the significance of your study and how it will contribute to the field. This could be in the form of new knowledge, theoretical insights, practical applications, or policy recommendations.</w:t>
      </w:r>
    </w:p>
    <w:p w14:paraId="1147B128" w14:textId="77777777" w:rsidR="007D15DB" w:rsidRPr="007D15DB" w:rsidRDefault="007D15DB" w:rsidP="006B6923">
      <w:pPr>
        <w:numPr>
          <w:ilvl w:val="0"/>
          <w:numId w:val="5"/>
        </w:numPr>
        <w:tabs>
          <w:tab w:val="left" w:pos="10080"/>
        </w:tabs>
        <w:ind w:right="-33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Structure of the paper: Provide an overview of the structure of the paper, including the main sections and their contents. This will help the reader navigate the paper and understand how the different sections relate to each other.</w:t>
      </w:r>
    </w:p>
    <w:p w14:paraId="0663F618" w14:textId="77777777" w:rsidR="007D15DB" w:rsidRPr="007D15DB" w:rsidRDefault="007D15DB" w:rsidP="006B6923">
      <w:pPr>
        <w:tabs>
          <w:tab w:val="left" w:pos="10080"/>
        </w:tabs>
        <w:ind w:right="-333"/>
        <w:rPr>
          <w:rFonts w:asciiTheme="minorHAnsi" w:hAnsiTheme="minorHAnsi" w:cstheme="minorHAnsi"/>
          <w:color w:val="000000" w:themeColor="text1"/>
          <w:lang w:val="en-US"/>
        </w:rPr>
      </w:pPr>
      <w:r w:rsidRPr="007D15DB">
        <w:rPr>
          <w:rFonts w:asciiTheme="minorHAnsi" w:hAnsiTheme="minorHAnsi" w:cstheme="minorHAnsi"/>
          <w:color w:val="000000" w:themeColor="text1"/>
          <w:lang w:val="en-US"/>
        </w:rPr>
        <w:t>It is important to remember that the introduction should be written in a clear and concise manner, avoiding unnecessary jargon or technical terms. The introduction should also be logically organized and easy to follow, with each section flowing smoothly into the next. Finally, the introduction should be written in a way that engages the reader and motivates them to read on to learn more about your study.</w:t>
      </w:r>
    </w:p>
    <w:p w14:paraId="4917F368" w14:textId="44280CA9" w:rsidR="001F634F" w:rsidRPr="00EB6B96" w:rsidRDefault="00920F17" w:rsidP="006B6923">
      <w:pPr>
        <w:tabs>
          <w:tab w:val="left" w:pos="10080"/>
        </w:tabs>
        <w:ind w:right="-333"/>
        <w:rPr>
          <w:rFonts w:asciiTheme="minorHAnsi" w:hAnsiTheme="minorHAnsi" w:cstheme="minorHAnsi"/>
          <w:color w:val="000000" w:themeColor="text1"/>
        </w:rPr>
      </w:pPr>
      <w:r w:rsidRPr="00EB6B96">
        <w:rPr>
          <w:rFonts w:asciiTheme="minorHAnsi" w:hAnsiTheme="minorHAnsi" w:cstheme="minorHAnsi"/>
          <w:color w:val="000000" w:themeColor="text1"/>
        </w:rPr>
        <w:t xml:space="preserve">In the introduction paragraph, avoid a detailed literature survey or a summary of the results. Write your Introduction into three sections: - “What” is known about the Research - “What” is not known about the Research - “Why” the research was done. </w:t>
      </w:r>
      <w:r w:rsidR="001F634F" w:rsidRPr="00EB6B96">
        <w:rPr>
          <w:rFonts w:asciiTheme="minorHAnsi" w:hAnsiTheme="minorHAnsi" w:cstheme="minorHAnsi"/>
          <w:color w:val="000000" w:themeColor="text1"/>
        </w:rPr>
        <w:t xml:space="preserve">In Spain, the stay-at-home lockdown during the COVID-19 pandemic highlighted the difficulty of combining remote working and family life. The experience of not only much of the Spanish population but also worldwide was reflected in numerous media assessments of the shortcomings of the housing stock. The stay-at-home lockdown forced people to relegate their whole daily life to their homes. In the words of </w:t>
      </w:r>
      <w:r w:rsidR="001F634F" w:rsidRPr="00EB6B96">
        <w:rPr>
          <w:rFonts w:asciiTheme="minorHAnsi" w:hAnsiTheme="minorHAnsi" w:cstheme="minorHAnsi"/>
          <w:color w:val="000000" w:themeColor="text1"/>
        </w:rPr>
        <w:fldChar w:fldCharType="begin" w:fldLock="1"/>
      </w:r>
      <w:r w:rsidR="001F634F" w:rsidRPr="00EB6B96">
        <w:rPr>
          <w:rFonts w:asciiTheme="minorHAnsi" w:hAnsiTheme="minorHAnsi" w:cstheme="minorHAnsi"/>
          <w:color w:val="000000" w:themeColor="text1"/>
        </w:rPr>
        <w:instrText>ADDIN CSL_CITATION {"citationItems":[{"id":"ITEM-1","itemData":{"author":[{"dropping-particle":"","family":"Fernández Galiano","given":"L.","non-dropping-particle":"","parse-names":false,"suffix":""}],"container-title":"Arquitectura Viva","id":"ITEM-1","issued":{"date-parts":[["2020"]]},"page":"3-5","title":"Arresto domicilario [House arrest]","type":"article-journal","volume":"224"},"uris":["http://www.mendeley.com/documents/?uuid=3021b9c9-c5bf-4d5d-8aaf-8620f72a4103"]}],"mendeley":{"formattedCitation":"(Fernández Galiano, 2020)","manualFormatting":"Fernández Galiano, (2020)","plainTextFormattedCitation":"(Fernández Galiano, 2020)","previouslyFormattedCitation":"(Fernández Galiano, 2020)"},"properties":{"noteIndex":0},"schema":"https://github.com/citation-style-language/schema/raw/master/csl-citation.json"}</w:instrText>
      </w:r>
      <w:r w:rsidR="001F634F" w:rsidRPr="00EB6B96">
        <w:rPr>
          <w:rFonts w:asciiTheme="minorHAnsi" w:hAnsiTheme="minorHAnsi" w:cstheme="minorHAnsi"/>
          <w:color w:val="000000" w:themeColor="text1"/>
        </w:rPr>
        <w:fldChar w:fldCharType="separate"/>
      </w:r>
      <w:r w:rsidR="001F634F" w:rsidRPr="00EB6B96">
        <w:rPr>
          <w:rFonts w:asciiTheme="minorHAnsi" w:hAnsiTheme="minorHAnsi" w:cstheme="minorHAnsi"/>
          <w:noProof/>
          <w:color w:val="000000" w:themeColor="text1"/>
        </w:rPr>
        <w:t>Fernández Galiano (</w:t>
      </w:r>
      <w:hyperlink w:anchor="nine" w:history="1">
        <w:r w:rsidR="001F634F" w:rsidRPr="00EB6B96">
          <w:rPr>
            <w:rStyle w:val="Hyperlink"/>
            <w:rFonts w:asciiTheme="minorHAnsi" w:hAnsiTheme="minorHAnsi" w:cstheme="minorHAnsi"/>
            <w:noProof/>
            <w:color w:val="000000" w:themeColor="text1"/>
            <w:u w:val="none"/>
          </w:rPr>
          <w:t>2020</w:t>
        </w:r>
      </w:hyperlink>
      <w:r w:rsidR="001F634F" w:rsidRPr="00EB6B96">
        <w:rPr>
          <w:rFonts w:asciiTheme="minorHAnsi" w:hAnsiTheme="minorHAnsi" w:cstheme="minorHAnsi"/>
          <w:noProof/>
          <w:color w:val="000000" w:themeColor="text1"/>
        </w:rPr>
        <w:t>)</w:t>
      </w:r>
      <w:r w:rsidR="001F634F" w:rsidRPr="00EB6B96">
        <w:rPr>
          <w:rFonts w:asciiTheme="minorHAnsi" w:hAnsiTheme="minorHAnsi" w:cstheme="minorHAnsi"/>
          <w:color w:val="000000" w:themeColor="text1"/>
        </w:rPr>
        <w:fldChar w:fldCharType="end"/>
      </w:r>
      <w:r w:rsidR="001F634F" w:rsidRPr="00EB6B96">
        <w:rPr>
          <w:rFonts w:asciiTheme="minorHAnsi" w:hAnsiTheme="minorHAnsi" w:cstheme="minorHAnsi"/>
          <w:color w:val="000000" w:themeColor="text1"/>
        </w:rPr>
        <w:t xml:space="preserve"> "the intimate hideaway has become a prison cell". Suddenly, the home has become the centre of all activity, even that which had taken place up until then in the city - which practically emptied -: education, work and leisure. Stay-at-home lockdown revealed the lack of terraces, indoor environmental quality and flexible spaces in much of the residential stock built in Spain </w:t>
      </w:r>
      <w:r w:rsidR="001F634F" w:rsidRPr="00EB6B96">
        <w:rPr>
          <w:rFonts w:asciiTheme="minorHAnsi" w:hAnsiTheme="minorHAnsi" w:cstheme="minorHAnsi"/>
          <w:color w:val="000000" w:themeColor="text1"/>
        </w:rPr>
        <w:fldChar w:fldCharType="begin" w:fldLock="1"/>
      </w:r>
      <w:r w:rsidR="001F634F" w:rsidRPr="00EB6B96">
        <w:rPr>
          <w:rFonts w:asciiTheme="minorHAnsi" w:hAnsiTheme="minorHAnsi" w:cstheme="minorHAnsi"/>
          <w:color w:val="000000" w:themeColor="text1"/>
        </w:rPr>
        <w:instrText>ADDIN CSL_CITATION {"citationItems":[{"id":"ITEM-1","itemData":{"DOI":"10.3390/su122310198","ISSN":"20711050","abstract":"The confinement by COVID-19 has meant a re-reading of housing for Spanish households, resulting in the only available and safe space to carry out daily activity. This complex phenomenon has generated a completely different way of inhabiting it, as well as of relating to domestic spaces. For this reason, the home perception and its characteristics must be evaluated, highlighting those perceived as deficiencies, or as preferences in such an unusual context as lockdown, where the experience was different depending on the dwelling characteristics, and the family in question. To deepen in this double perception home-dwelling, a mixed method was used, with two online forms. The first is a quantitative questionnaire, while the second asks the participants for photographs and narratives about such images. More than 1800 surveys and 785 qualitative responses were obtained. From both approaches, the joint discourse arose, allowing an exploratory analysis of the current situation of the Spanish residential park, and the resilience demonstrated in this period by both households and their usual dwellings. This study should facilitate the development of new proposals on housing in contexts similar to the COVID-19 pandemic.","author":[{"dropping-particle":"","family":"Cuerdo-Vilches","given":"Teresa","non-dropping-particle":"","parse-names":false,"suffix":""},{"dropping-particle":"","family":"Navas-Martín","given":"Miguel Ángel","non-dropping-particle":"","parse-names":false,"suffix":""},{"dropping-particle":"","family":"Oteiza","given":"Ignacio","non-dropping-particle":"","parse-names":false,"suffix":""}],"container-title":"Sustainability (Switzerland)","id":"ITEM-1","issue":"23","issued":{"date-parts":[["2020"]]},"page":"1-24","title":"A mixed approach on resilience of spanish dwellings and households during covid-19 lockdown","type":"article-journal","volume":"12"},"uris":["http://www.mendeley.com/documents/?uuid=a71833bf-4f1f-4cba-be4b-22217e71fd3d"]}],"mendeley":{"formattedCitation":"(Cuerdo-Vilches et al., 2020)","plainTextFormattedCitation":"(Cuerdo-Vilches et al., 2020)","previouslyFormattedCitation":"(Cuerdo-Vilches et al., 2020)"},"properties":{"noteIndex":0},"schema":"https://github.com/citation-style-language/schema/raw/master/csl-citation.json"}</w:instrText>
      </w:r>
      <w:r w:rsidR="001F634F" w:rsidRPr="00EB6B96">
        <w:rPr>
          <w:rFonts w:asciiTheme="minorHAnsi" w:hAnsiTheme="minorHAnsi" w:cstheme="minorHAnsi"/>
          <w:color w:val="000000" w:themeColor="text1"/>
        </w:rPr>
        <w:fldChar w:fldCharType="separate"/>
      </w:r>
      <w:r w:rsidR="001F634F" w:rsidRPr="00EB6B96">
        <w:rPr>
          <w:rFonts w:asciiTheme="minorHAnsi" w:hAnsiTheme="minorHAnsi" w:cstheme="minorHAnsi"/>
          <w:noProof/>
          <w:color w:val="000000" w:themeColor="text1"/>
        </w:rPr>
        <w:t>(</w:t>
      </w:r>
      <w:hyperlink w:anchor="six" w:history="1">
        <w:r w:rsidR="001F634F" w:rsidRPr="00EB6B96">
          <w:rPr>
            <w:rStyle w:val="Hyperlink"/>
            <w:rFonts w:asciiTheme="minorHAnsi" w:hAnsiTheme="minorHAnsi" w:cstheme="minorHAnsi"/>
            <w:noProof/>
            <w:color w:val="000000" w:themeColor="text1"/>
            <w:u w:val="none"/>
          </w:rPr>
          <w:t>Cuerdo-Vilches et al., 2020</w:t>
        </w:r>
      </w:hyperlink>
      <w:r w:rsidR="001F634F" w:rsidRPr="00EB6B96">
        <w:rPr>
          <w:rFonts w:asciiTheme="minorHAnsi" w:hAnsiTheme="minorHAnsi" w:cstheme="minorHAnsi"/>
          <w:noProof/>
          <w:color w:val="000000" w:themeColor="text1"/>
        </w:rPr>
        <w:t>)</w:t>
      </w:r>
      <w:r w:rsidR="001F634F" w:rsidRPr="00EB6B96">
        <w:rPr>
          <w:rFonts w:asciiTheme="minorHAnsi" w:hAnsiTheme="minorHAnsi" w:cstheme="minorHAnsi"/>
          <w:color w:val="000000" w:themeColor="text1"/>
        </w:rPr>
        <w:fldChar w:fldCharType="end"/>
      </w:r>
      <w:r w:rsidR="001F634F" w:rsidRPr="00EB6B96">
        <w:rPr>
          <w:rFonts w:asciiTheme="minorHAnsi" w:hAnsiTheme="minorHAnsi" w:cstheme="minorHAnsi"/>
          <w:color w:val="000000" w:themeColor="text1"/>
        </w:rPr>
        <w:t>. Yet the less resilient type of housing to lockdown is, on the one hand, the housing units of under 60 m</w:t>
      </w:r>
      <w:r w:rsidR="001F634F" w:rsidRPr="00EB6B96">
        <w:rPr>
          <w:rFonts w:asciiTheme="minorHAnsi" w:hAnsiTheme="minorHAnsi" w:cstheme="minorHAnsi"/>
          <w:color w:val="000000" w:themeColor="text1"/>
          <w:vertAlign w:val="superscript"/>
        </w:rPr>
        <w:t>2</w:t>
      </w:r>
      <w:r w:rsidR="001F634F" w:rsidRPr="00EB6B96">
        <w:rPr>
          <w:rFonts w:asciiTheme="minorHAnsi" w:hAnsiTheme="minorHAnsi" w:cstheme="minorHAnsi"/>
          <w:color w:val="000000" w:themeColor="text1"/>
        </w:rPr>
        <w:t xml:space="preserve"> and with no views of green areas, as their households are more prone to depression </w:t>
      </w:r>
      <w:r w:rsidR="001F634F" w:rsidRPr="00EB6B96">
        <w:rPr>
          <w:rFonts w:asciiTheme="minorHAnsi" w:hAnsiTheme="minorHAnsi" w:cstheme="minorHAnsi"/>
          <w:i/>
          <w:color w:val="000000" w:themeColor="text1"/>
        </w:rPr>
        <w:fldChar w:fldCharType="begin" w:fldLock="1"/>
      </w:r>
      <w:r w:rsidR="001F634F" w:rsidRPr="00EB6B96">
        <w:rPr>
          <w:rFonts w:asciiTheme="minorHAnsi" w:hAnsiTheme="minorHAnsi" w:cstheme="minorHAnsi"/>
          <w:i/>
          <w:color w:val="000000" w:themeColor="text1"/>
        </w:rPr>
        <w:instrText>ADDIN CSL_CITATION {"citationItems":[{"id":"ITEM-1","itemData":{"DOI":"10.3390/ijerph17165973","author":[{"dropping-particle":"","family":"Amerio","given":"A.","non-dropping-particle":"","parse-names":false,"suffix":""},{"dropping-particle":"","family":"Brambilla","given":"A.","non-dropping-particle":"","parse-names":false,"suffix":""},{"dropping-particle":"","family":"Morganti","given":"A.","non-dropping-particle":"","parse-names":false,"suffix":""},{"dropping-particle":"","family":"Aguglia","given":"A.","non-dropping-particle":"","parse-names":false,"suffix":""},{"dropping-particle":"","family":"Bianchi","given":"D.","non-dropping-particle":"","parse-names":false,"suffix":""},{"dropping-particle":"","family":"Santi","given":"F.","non-dropping-particle":"","parse-names":false,"suffix":""},{"dropping-particle":"","family":"Costantini","given":"L.","non-dropping-particle":"","parse-names":false,"suffix":""},{"dropping-particle":"","family":"Odone","given":"A.","non-dropping-particle":"","parse-names":false,"suffix":""},{"dropping-particle":"","family":"Costanza","given":"A.","non-dropping-particle":"","parse-names":false,"suffix":""},{"dropping-particle":"","family":"Signorelli","given":"C.","non-dropping-particle":"","parse-names":false,"suffix":""},{"dropping-particle":"","family":"Serafini","given":"G.","non-dropping-particle":"","parse-names":false,"suffix":""},{"dropping-particle":"","family":"Amore","given":"M.","non-dropping-particle":"","parse-names":false,"suffix":""},{"dropping-particle":"","family":"Capolongo","given":"S.","non-dropping-particle":"","parse-names":false,"suffix":""}],"container-title":"International Journal of Environmental Research and Public Health","id":"ITEM-1","issue":"16","issued":{"date-parts":[["2020"]]},"page":"5973","title":"COVID-19 Lockdown: Housing Built Environment’s Effects on Mental Health","type":"article-journal","volume":"17"},"uris":["http://www.mendeley.com/documents/?uuid=47e60eb7-1ac6-43c1-a692-f08031e21087"]}],"mendeley":{"formattedCitation":"(Amerio et al., 2020)","plainTextFormattedCitation":"(Amerio et al., 2020)","previouslyFormattedCitation":"(Amerio et al., 2020)"},"properties":{"noteIndex":0},"schema":"https://github.com/citation-style-language/schema/raw/master/csl-citation.json"}</w:instrText>
      </w:r>
      <w:r w:rsidR="001F634F" w:rsidRPr="00EB6B96">
        <w:rPr>
          <w:rFonts w:asciiTheme="minorHAnsi" w:hAnsiTheme="minorHAnsi" w:cstheme="minorHAnsi"/>
          <w:i/>
          <w:color w:val="000000" w:themeColor="text1"/>
        </w:rPr>
        <w:fldChar w:fldCharType="separate"/>
      </w:r>
      <w:r w:rsidR="001F634F" w:rsidRPr="00EB6B96">
        <w:rPr>
          <w:rFonts w:asciiTheme="minorHAnsi" w:hAnsiTheme="minorHAnsi" w:cstheme="minorHAnsi"/>
          <w:noProof/>
          <w:color w:val="000000" w:themeColor="text1"/>
        </w:rPr>
        <w:t>(</w:t>
      </w:r>
      <w:hyperlink w:anchor="two" w:history="1">
        <w:r w:rsidR="001F634F" w:rsidRPr="00EB6B96">
          <w:rPr>
            <w:rStyle w:val="Hyperlink"/>
            <w:rFonts w:asciiTheme="minorHAnsi" w:hAnsiTheme="minorHAnsi" w:cstheme="minorHAnsi"/>
            <w:noProof/>
            <w:color w:val="000000" w:themeColor="text1"/>
            <w:u w:val="none"/>
          </w:rPr>
          <w:t>Amerio et al., 2020</w:t>
        </w:r>
      </w:hyperlink>
      <w:r w:rsidR="001F634F" w:rsidRPr="00EB6B96">
        <w:rPr>
          <w:rFonts w:asciiTheme="minorHAnsi" w:hAnsiTheme="minorHAnsi" w:cstheme="minorHAnsi"/>
          <w:noProof/>
          <w:color w:val="000000" w:themeColor="text1"/>
        </w:rPr>
        <w:t>)</w:t>
      </w:r>
      <w:r w:rsidR="001F634F" w:rsidRPr="00EB6B96">
        <w:rPr>
          <w:rFonts w:asciiTheme="minorHAnsi" w:hAnsiTheme="minorHAnsi" w:cstheme="minorHAnsi"/>
          <w:i/>
          <w:color w:val="000000" w:themeColor="text1"/>
        </w:rPr>
        <w:fldChar w:fldCharType="end"/>
      </w:r>
      <w:r w:rsidR="001F634F" w:rsidRPr="00EB6B96">
        <w:rPr>
          <w:rFonts w:asciiTheme="minorHAnsi" w:hAnsiTheme="minorHAnsi" w:cstheme="minorHAnsi"/>
          <w:color w:val="000000" w:themeColor="text1"/>
        </w:rPr>
        <w:t xml:space="preserve"> and, on the other hand, those located in community blocks and with aligned façades, given the difficulties to carry out extensions or alterations. This paper stresses three aspects for this type of housing: the need to consider the orientation of the housing to improve the quality of the indoor and outdoor space; the need for public </w:t>
      </w:r>
      <w:r w:rsidR="001F634F" w:rsidRPr="00EB6B96">
        <w:rPr>
          <w:rFonts w:asciiTheme="minorHAnsi" w:hAnsiTheme="minorHAnsi" w:cstheme="minorHAnsi"/>
          <w:color w:val="000000" w:themeColor="text1"/>
        </w:rPr>
        <w:lastRenderedPageBreak/>
        <w:t>housing policies for a greater number of rooms to facilitate remote working; and, finally, the importance of functional terraces overlooking green areas.</w:t>
      </w:r>
    </w:p>
    <w:p w14:paraId="36E1B725" w14:textId="77777777" w:rsidR="001F634F" w:rsidRPr="00EB6B96" w:rsidRDefault="001F634F" w:rsidP="006B6923">
      <w:pPr>
        <w:tabs>
          <w:tab w:val="left" w:pos="10080"/>
        </w:tabs>
        <w:ind w:right="-333"/>
        <w:rPr>
          <w:rFonts w:asciiTheme="minorHAnsi" w:hAnsiTheme="minorHAnsi" w:cstheme="minorHAnsi"/>
          <w:color w:val="000000" w:themeColor="text1"/>
        </w:rPr>
      </w:pPr>
      <w:r w:rsidRPr="00EB6B96">
        <w:rPr>
          <w:rFonts w:asciiTheme="minorHAnsi" w:hAnsiTheme="minorHAnsi" w:cstheme="minorHAnsi"/>
          <w:color w:val="000000" w:themeColor="text1"/>
        </w:rPr>
        <w:t>This document is organized into four parts. The first chapter reviews the state of play. The second presents the analysis methodology based on psychological, urban planning and architectural indicators applied to two coastal cities in the Mediterranean area of southern Spain. The third and fourth chapters consider the results and discuss the main contributions of this paper.</w:t>
      </w:r>
    </w:p>
    <w:p w14:paraId="0DB43789" w14:textId="77777777" w:rsidR="00334C00" w:rsidRPr="00EB6B96" w:rsidRDefault="00334C00" w:rsidP="006B6923">
      <w:pPr>
        <w:tabs>
          <w:tab w:val="left" w:pos="10080"/>
        </w:tabs>
        <w:ind w:right="-333"/>
        <w:rPr>
          <w:rFonts w:asciiTheme="minorHAnsi" w:hAnsiTheme="minorHAnsi" w:cstheme="minorHAnsi"/>
        </w:rPr>
        <w:sectPr w:rsidR="00334C00" w:rsidRPr="00EB6B96" w:rsidSect="00EC554B">
          <w:type w:val="continuous"/>
          <w:pgSz w:w="11907" w:h="16839"/>
          <w:pgMar w:top="1008" w:right="1008" w:bottom="720" w:left="1008" w:header="432" w:footer="432" w:gutter="0"/>
          <w:cols w:space="720" w:equalWidth="0">
            <w:col w:w="9171"/>
          </w:cols>
          <w:docGrid w:linePitch="272"/>
        </w:sectPr>
      </w:pPr>
    </w:p>
    <w:p w14:paraId="55C32875" w14:textId="77777777" w:rsidR="00334C00" w:rsidRPr="00EB6B96" w:rsidRDefault="00B64135" w:rsidP="006B6923">
      <w:pPr>
        <w:tabs>
          <w:tab w:val="left" w:pos="10080"/>
        </w:tabs>
        <w:ind w:right="-333"/>
        <w:jc w:val="center"/>
        <w:rPr>
          <w:rFonts w:asciiTheme="minorHAnsi" w:hAnsiTheme="minorHAnsi" w:cstheme="minorHAnsi"/>
        </w:rPr>
      </w:pPr>
      <w:r w:rsidRPr="00EB6B96">
        <w:rPr>
          <w:rFonts w:asciiTheme="minorHAnsi" w:hAnsiTheme="minorHAnsi" w:cstheme="minorHAnsi"/>
          <w:noProof/>
        </w:rPr>
        <w:drawing>
          <wp:inline distT="0" distB="0" distL="114300" distR="114300" wp14:anchorId="2DF03BBD" wp14:editId="732C33DC">
            <wp:extent cx="3371850" cy="3600450"/>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b="6120"/>
                    <a:stretch>
                      <a:fillRect/>
                    </a:stretch>
                  </pic:blipFill>
                  <pic:spPr>
                    <a:xfrm>
                      <a:off x="0" y="0"/>
                      <a:ext cx="3386944" cy="3616567"/>
                    </a:xfrm>
                    <a:prstGeom prst="rect">
                      <a:avLst/>
                    </a:prstGeom>
                    <a:ln/>
                  </pic:spPr>
                </pic:pic>
              </a:graphicData>
            </a:graphic>
          </wp:inline>
        </w:drawing>
      </w:r>
    </w:p>
    <w:p w14:paraId="34AD0FF3" w14:textId="77777777" w:rsidR="00334C00" w:rsidRPr="00EB6B96" w:rsidRDefault="00B64135" w:rsidP="006B6923">
      <w:pPr>
        <w:tabs>
          <w:tab w:val="left" w:pos="10080"/>
        </w:tabs>
        <w:ind w:right="-333"/>
        <w:jc w:val="center"/>
        <w:rPr>
          <w:rFonts w:asciiTheme="minorHAnsi" w:hAnsiTheme="minorHAnsi" w:cstheme="minorHAnsi"/>
        </w:rPr>
      </w:pPr>
      <w:r w:rsidRPr="00EB6B96">
        <w:rPr>
          <w:rFonts w:asciiTheme="minorHAnsi" w:hAnsiTheme="minorHAnsi" w:cstheme="minorHAnsi"/>
          <w:b/>
        </w:rPr>
        <w:t>Figure 1.</w:t>
      </w:r>
      <w:r w:rsidRPr="00EB6B96">
        <w:rPr>
          <w:rFonts w:asciiTheme="minorHAnsi" w:hAnsiTheme="minorHAnsi" w:cstheme="minorHAnsi"/>
        </w:rPr>
        <w:t xml:space="preserve"> Structure of the Study (Developed by Author).</w:t>
      </w:r>
    </w:p>
    <w:p w14:paraId="23464B13" w14:textId="77777777" w:rsidR="001F634F" w:rsidRPr="00EB6B96" w:rsidRDefault="001F634F" w:rsidP="006B6923">
      <w:pPr>
        <w:tabs>
          <w:tab w:val="left" w:pos="10080"/>
        </w:tabs>
        <w:ind w:right="-333"/>
        <w:jc w:val="center"/>
        <w:rPr>
          <w:rFonts w:asciiTheme="minorHAnsi" w:hAnsiTheme="minorHAnsi" w:cstheme="minorHAnsi"/>
        </w:rPr>
      </w:pPr>
    </w:p>
    <w:p w14:paraId="5ABADE7C" w14:textId="659E8B88" w:rsidR="001F634F" w:rsidRPr="00EB6B96" w:rsidRDefault="001F634F" w:rsidP="006B6923">
      <w:pPr>
        <w:tabs>
          <w:tab w:val="left" w:pos="10080"/>
        </w:tabs>
        <w:ind w:right="-333"/>
        <w:rPr>
          <w:rFonts w:asciiTheme="minorHAnsi" w:eastAsia="Times New Roman" w:hAnsiTheme="minorHAnsi" w:cstheme="minorHAnsi"/>
          <w:color w:val="000000" w:themeColor="text1"/>
          <w:szCs w:val="24"/>
        </w:rPr>
      </w:pPr>
      <w:r w:rsidRPr="00EB6B96">
        <w:rPr>
          <w:rFonts w:asciiTheme="minorHAnsi" w:eastAsia="Times New Roman" w:hAnsiTheme="minorHAnsi" w:cstheme="minorHAnsi"/>
          <w:color w:val="000000" w:themeColor="text1"/>
          <w:szCs w:val="24"/>
        </w:rPr>
        <w:t xml:space="preserve">Until vaccines were developed, the hygienist movement considered the city and housing as a necessary way to prevent disease. Keeping houses clean, locating them in airy and sunny places, going outdoors and breathing pure mountain air in a suitable climate was recommended. These were the tenets of the </w:t>
      </w:r>
      <w:proofErr w:type="spellStart"/>
      <w:r w:rsidRPr="00EB6B96">
        <w:rPr>
          <w:rFonts w:asciiTheme="minorHAnsi" w:eastAsia="Times New Roman" w:hAnsiTheme="minorHAnsi" w:cstheme="minorHAnsi"/>
          <w:color w:val="000000" w:themeColor="text1"/>
          <w:szCs w:val="24"/>
        </w:rPr>
        <w:t>hygienism</w:t>
      </w:r>
      <w:proofErr w:type="spellEnd"/>
      <w:r w:rsidRPr="00EB6B96">
        <w:rPr>
          <w:rFonts w:asciiTheme="minorHAnsi" w:eastAsia="Times New Roman" w:hAnsiTheme="minorHAnsi" w:cstheme="minorHAnsi"/>
          <w:color w:val="000000" w:themeColor="text1"/>
          <w:szCs w:val="24"/>
        </w:rPr>
        <w:t xml:space="preserve"> advocated by Le Corbusier and the Modern Movement, which influenced the design of hospitals where those four principles were applied, such as the Paimio Sanatorium, designed by Alvar Aalto in Finland between 1929 and 1933. In a review of the literature on the needs arising from the pandemic and its lockdown, the returning to the hygienic principles of the Modern Movement can be organised into indoor space conditions and outdoor space conditions.</w:t>
      </w:r>
    </w:p>
    <w:bookmarkEnd w:id="0"/>
    <w:p w14:paraId="0E5BBBAC" w14:textId="77777777" w:rsidR="00F5485D" w:rsidRPr="00EB6B96" w:rsidRDefault="00F5485D" w:rsidP="006B6923">
      <w:pPr>
        <w:tabs>
          <w:tab w:val="left" w:pos="10080"/>
        </w:tabs>
        <w:ind w:right="-333"/>
        <w:rPr>
          <w:rFonts w:asciiTheme="minorHAnsi" w:eastAsia="Times New Roman" w:hAnsiTheme="minorHAnsi" w:cstheme="minorHAnsi"/>
          <w:color w:val="000000" w:themeColor="text1"/>
          <w:szCs w:val="24"/>
        </w:rPr>
      </w:pPr>
    </w:p>
    <w:p w14:paraId="4DF618EE" w14:textId="3B7C25B3" w:rsidR="001F634F" w:rsidRPr="00EB6B96" w:rsidRDefault="001F634F" w:rsidP="006B6923">
      <w:pPr>
        <w:pStyle w:val="Heading2"/>
        <w:tabs>
          <w:tab w:val="left" w:pos="10080"/>
        </w:tabs>
        <w:spacing w:before="0"/>
        <w:ind w:right="-333"/>
        <w:rPr>
          <w:rFonts w:asciiTheme="minorHAnsi" w:hAnsiTheme="minorHAnsi" w:cstheme="minorHAnsi"/>
          <w:color w:val="000000" w:themeColor="text1"/>
        </w:rPr>
      </w:pPr>
      <w:r w:rsidRPr="00EB6B96">
        <w:rPr>
          <w:rFonts w:asciiTheme="minorHAnsi" w:hAnsiTheme="minorHAnsi" w:cstheme="minorHAnsi"/>
          <w:color w:val="000000" w:themeColor="text1"/>
        </w:rPr>
        <w:t xml:space="preserve">2. Indoor Space Conditions </w:t>
      </w:r>
    </w:p>
    <w:p w14:paraId="75275326" w14:textId="77777777" w:rsidR="001F634F" w:rsidRPr="00EB6B96" w:rsidRDefault="001F634F" w:rsidP="006B6923">
      <w:pPr>
        <w:tabs>
          <w:tab w:val="left" w:pos="10080"/>
        </w:tabs>
        <w:ind w:right="-333"/>
        <w:rPr>
          <w:rFonts w:asciiTheme="minorHAnsi" w:eastAsia="Times New Roman" w:hAnsiTheme="minorHAnsi" w:cstheme="minorHAnsi"/>
          <w:color w:val="000000" w:themeColor="text1"/>
          <w:szCs w:val="24"/>
        </w:rPr>
      </w:pPr>
      <w:r w:rsidRPr="00EB6B96">
        <w:rPr>
          <w:rFonts w:asciiTheme="minorHAnsi" w:eastAsia="Times New Roman" w:hAnsiTheme="minorHAnsi" w:cstheme="minorHAnsi"/>
          <w:color w:val="000000" w:themeColor="text1"/>
          <w:szCs w:val="24"/>
        </w:rPr>
        <w:t xml:space="preserve">During a lockdown, there needs to be a flexible approach to living space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{"citationItems":[{"id":"ITEM-1","itemData":{"DOI":"10.1108/ARCH-07-2020-0144","ISSN":"19387806","abstract":"Purpose: The COVID-19 pandemic resulted in the compulsory quarantine of many of the world's inhabitants, and by staying at home, several functional developments emerged in residential spaces in Jeddah that affected the role of the house as a contributor to individuals' quality of life under the pressures of quarantine. Given the necessity of the apartments to adapt to these emerging developments, this study explores the determinants associated with the flexibility of residential apartments by looking at the extent to which they meet the new psychological, social and cultural roles required by their users post-COVID-19. Design/methodology/approach: The qualitative approach (1) extracted concepts related to the flexibility of housing from the available literature and (2) extrapolated the flexibility of the residential apartments from the participants' study (12 families) in different areas of Jeddah by analyzing the results of targeted interviews. Findings: There is a gap in the participant's understanding of the quality of housing and the level of satisfaction with a housing design that differs before and after their quarantine experience. The participant's adaptation to self-quarantine was mainly through furniture distribution, and housing flexibility was less reliant on the physical transformation of the place than on the change in the inhabitants' perceptions. There was an indication that the deficiencies of flexibility in design relates to the functional, cultural and structural aspects of residential buildings. Originality/value: This study generated suggestions to develop the foundations for flexible housing design and activate its role under the post-quarantine context according to social and cultural variables. Some proposals should become future requirements for residential apartments to benefit officials and stakeholders to develop housing flexibility.","author":[{"dropping-particle":"","family":"Bettaieb","given":"Donia M.","non-dropping-particle":"","parse-names":false,"suffix":""},{"dropping-particle":"","family":"Alsabban","given":"Reem","non-dropping-particle":"","parse-names":false,"suffix":""}],"container-title":"Archnet-IJAR","id":"ITEM-1","issue":"1","issued":{"date-parts":[["2020"]]},"page":"28-50","title":"Emerging living styles post-COVID-19: housing flexibility as a fundamental requirement for apartments in Jeddah","type":"article-journal","volume":"15"},"uris":["http://www.mendeley.com/documents/?uuid=e14f2564-155d-4652-9809-518445c7f815"]},{"id":"ITEM-2","itemData":{"DOI":"10.3390/su122310198","ISSN":"20711050","abstract":"The confinement by COVID-19 has meant a re-reading of housing for Spanish households, resulting in the only available and safe space to carry out daily activity. This complex phenomenon has generated a completely different way of inhabiting it, as well as of relating to domestic spaces. For this reason, the home perception and its characteristics must be evaluated, highlighting those perceived as deficiencies, or as preferences in such an unusual context as lockdown, where the experience was different depending on the dwelling characteristics, and the family in question. To deepen in this double perception home-dwelling, a mixed method was used, with two online forms. The first is a quantitative questionnaire, while the second asks the participants for photographs and narratives about such images. More than 1800 surveys and 785 qualitative responses were obtained. From both approaches, the joint discourse arose, allowing an exploratory analysis of the current situation of the Spanish residential park, and the resilience demonstrated in this period by both households and their usual dwellings. This study should facilitate the development of new proposals on housing in contexts similar to the COVID-19 pandemic.","author":[{"dropping-particle":"","family":"Cuerdo-Vilches","given":"Teresa","non-dropping-particle":"","parse-names":false,"suffix":""},{"dropping-particle":"","family":"Navas-Martín","given":"Miguel Ángel","non-dropping-particle":"","parse-names":false,"suffix":""},{"dropping-particle":"","family":"Oteiza","given":"Ignacio","non-dropping-particle":"","parse-names":false,"suffix":""}],"container-title":"Sustainability (Switzerland)","id":"ITEM-2","issue":"23","issued":{"date-parts":[["2020"]]},"page":"1-24","title":"A mixed approach on resilience of spanish dwellings and households during covid-19 lockdown","type":"article-journal","volume":"12"},"uris":["http://www.mendeley.com/documents/?uuid=a71833bf-4f1f-4cba-be4b-22217e71fd3d"]},{"id":"ITEM-3","itemData":{"DOI":"10.3828/tpr.2020.79","ISSN":"0041-0020","abstract":"Nan et al discuss the COVID-19 implications for housing. The COVID-19 pandemic has made \"home\" an absolute focal point of people's lives. The socio-economic upheaval experienced so far is unlikely to end soon, and more complex and possibly much more severe socio-economic impacts might follow as the COVID-19 repercussions travel through the ramified world with layers of economic (national and local) and institutional structures. Much will depend on how local and national governments attempt to intervene at various territorial scales over time.","author":[{"dropping-particle":"","family":"Nanda","given":"Anupam","non-dropping-particle":"","parse-names":false,"suffix":""},{"dropping-particle":"","family":"Thanos","given":"Sotirios","non-dropping-particle":"","parse-names":false,"suffix":""},{"dropping-particle":"","family":"Valtonen","given":"Eero","non-dropping-particle":"","parse-names":false,"suffix":""},{"dropping-particle":"","family":"Xu","given":"Yishuang","non-dropping-particle":"","parse-names":false,"suffix":""},{"dropping-particle":"","family":"Zandieh","given":"Razieh","non-dropping-particle":"","parse-names":false,"suffix":""}],"container-title":"Town Planning Review","id":"ITEM-3","issue":"1","issued":{"date-parts":[["2021"]]},"page":"25-31","title":"Forced homeward: the COVID-19 implications for housing","type":"article-journal","volume":"92"},"uris":["http://www.mendeley.com/documents/?uuid=bd57a548-a3c9-4a4b-a47e-0ba2fcc47c12"]}],"mendeley":{"formattedCitation":"(Bettaieb &amp; Alsabban, 2020; Cuerdo-Vilches et al., 2020; Nanda et al., 2021)","plainTextFormattedCitation":"(Bettaieb &amp; Alsabban, 2020; Cuerdo-Vilches et al., 2020; Nanda et al., 2021)","previouslyFormattedCitation":"(Bettaieb &amp; Alsabban, 2020; Cuerdo-Vilches et al., 2020; Nanda et al., 2021)"},"properties":{"noteIndex":0},"schema":"https://github.com/citation-style-language/schema/raw/master/csl-citation.json"}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hree" w:history="1">
        <w:r w:rsidRPr="00EB6B96">
          <w:rPr>
            <w:rStyle w:val="Hyperlink"/>
            <w:rFonts w:asciiTheme="minorHAnsi" w:eastAsia="Times New Roman" w:hAnsiTheme="minorHAnsi" w:cstheme="minorHAnsi"/>
            <w:noProof/>
            <w:color w:val="000000" w:themeColor="text1"/>
            <w:szCs w:val="24"/>
            <w:u w:val="none"/>
          </w:rPr>
          <w:t>Bettaieb &amp; Alsabban, 2020</w:t>
        </w:r>
      </w:hyperlink>
      <w:r w:rsidRPr="00EB6B96">
        <w:rPr>
          <w:rFonts w:asciiTheme="minorHAnsi" w:eastAsia="Times New Roman" w:hAnsiTheme="minorHAnsi" w:cstheme="minorHAnsi"/>
          <w:noProof/>
          <w:color w:val="000000" w:themeColor="text1"/>
          <w:szCs w:val="24"/>
        </w:rPr>
        <w:t xml:space="preserve">; </w:t>
      </w:r>
      <w:hyperlink w:anchor="six" w:history="1">
        <w:r w:rsidRPr="00EB6B96">
          <w:rPr>
            <w:rStyle w:val="Hyperlink"/>
            <w:rFonts w:asciiTheme="minorHAnsi" w:eastAsia="Times New Roman" w:hAnsiTheme="minorHAnsi" w:cstheme="minorHAnsi"/>
            <w:noProof/>
            <w:color w:val="000000" w:themeColor="text1"/>
            <w:szCs w:val="24"/>
            <w:u w:val="none"/>
          </w:rPr>
          <w:t>Cuerdo-Vilches et al., 2020</w:t>
        </w:r>
      </w:hyperlink>
      <w:r w:rsidRPr="00EB6B96">
        <w:rPr>
          <w:rFonts w:asciiTheme="minorHAnsi" w:eastAsia="Times New Roman" w:hAnsiTheme="minorHAnsi" w:cstheme="minorHAnsi"/>
          <w:noProof/>
          <w:color w:val="000000" w:themeColor="text1"/>
          <w:szCs w:val="24"/>
        </w:rPr>
        <w:t xml:space="preserve">; </w:t>
      </w:r>
      <w:hyperlink w:anchor="twenty4" w:history="1">
        <w:r w:rsidRPr="00EB6B96">
          <w:rPr>
            <w:rStyle w:val="Hyperlink"/>
            <w:rFonts w:asciiTheme="minorHAnsi" w:eastAsia="Times New Roman" w:hAnsiTheme="minorHAnsi" w:cstheme="minorHAnsi"/>
            <w:noProof/>
            <w:color w:val="000000" w:themeColor="text1"/>
            <w:szCs w:val="24"/>
            <w:u w:val="none"/>
          </w:rPr>
          <w:t>Nanda et al., 2021</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for work, schooling, leisure and exercise, which requires each user to have at least a private room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{"citationItems":[{"id":"ITEM-1","itemData":{"DOI":"10.3828/tpr.2020.79","ISSN":"0041-0020","abstract":"Nan et al discuss the COVID-19 implications for housing. The COVID-19 pandemic has made \"home\" an absolute focal point of people's lives. The socio-economic upheaval experienced so far is unlikely to end soon, and more complex and possibly much more severe socio-economic impacts might follow as the COVID-19 repercussions travel through the ramified world with layers of economic (national and local) and institutional structures. Much will depend on how local and national governments attempt to intervene at various territorial scales over time.","author":[{"dropping-particle":"","family":"Nanda","given":"Anupam","non-dropping-particle":"","parse-names":false,"suffix":""},{"dropping-particle":"","family":"Thanos","given":"Sotirios","non-dropping-particle":"","parse-names":false,"suffix":""},{"dropping-particle":"","family":"Valtonen","given":"Eero","non-dropping-particle":"","parse-names":false,"suffix":""},{"dropping-particle":"","family":"Xu","given":"Yishuang","non-dropping-particle":"","parse-names":false,"suffix":""},{"dropping-particle":"","family":"Zandieh","given":"Razieh","non-dropping-particle":"","parse-names":false,"suffix":""}],"container-title":"Town Planning Review","id":"ITEM-1","issue":"1","issued":{"date-parts":[["2021"]]},"page":"25-31","title":"Forced homeward: the COVID-19 implications for housing","type":"article-journal","volume":"92"},"uris":["http://www.mendeley.com/documents/?uuid=bd57a548-a3c9-4a4b-a47e-0ba2fcc47c12"]}],"mendeley":{"formattedCitation":"(Nanda et al., 2021)","plainTextFormattedCitation":"(Nanda et al., 2021)","previouslyFormattedCitation":"(Nanda et al., 2021)"},"properties":{"noteIndex":0},"schema":"https://github.com/citation-style-language/schema/raw/master/csl-citation.json"}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wenty4" w:history="1">
        <w:r w:rsidRPr="00EB6B96">
          <w:rPr>
            <w:rStyle w:val="Hyperlink"/>
            <w:rFonts w:asciiTheme="minorHAnsi" w:eastAsia="Times New Roman" w:hAnsiTheme="minorHAnsi" w:cstheme="minorHAnsi"/>
            <w:noProof/>
            <w:color w:val="000000" w:themeColor="text1"/>
            <w:szCs w:val="24"/>
            <w:u w:val="none"/>
          </w:rPr>
          <w:t>Nanda et al., 2021</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As regards work, </w:t>
      </w:r>
      <w:r w:rsidRPr="00EB6B96">
        <w:rPr>
          <w:rFonts w:asciiTheme="minorHAnsi" w:hAnsiTheme="minorHAnsi" w:cstheme="minorHAnsi"/>
          <w:color w:val="000000" w:themeColor="text1"/>
        </w:rPr>
        <w:t xml:space="preserve">even though </w:t>
      </w:r>
      <w:r w:rsidRPr="00EB6B96">
        <w:rPr>
          <w:rFonts w:asciiTheme="minorHAnsi" w:eastAsia="Times New Roman" w:hAnsiTheme="minorHAnsi" w:cstheme="minorHAnsi"/>
          <w:color w:val="000000" w:themeColor="text1"/>
          <w:szCs w:val="24"/>
        </w:rPr>
        <w:t xml:space="preserve">the idea of remote working dates back to the end of the 1960s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10.1108/02632771111146297","author":[{"dropping-particle":"","family":"Meel","given":"J.","non-dropping-particle":"van","parse-names":false,"suffix":""}],"container-title":"Facilities","id":"ITEM-1","issue":"9/11","issued":{"date-parts":[["2011"]]},"page":"357-367","title":"The origins of new ways of working","type":"article-journal","volume":"29"},"uris":["http://www.mendeley.com/documents/?uuid=44d329af-446d-429b-9023-73703e9be239"]}],"mendeley":{"formattedCitation":"(van Meel, 2011)","plainTextFormattedCitation":"(van Meel, 2011)","previouslyFormattedCitation":"(van Meel, 2011)"},"properties":{"noteIndex":0},"schema":"https://github.com/citation-style-language/schema/raw/master/csl-citation.json"}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wenty9" w:history="1">
        <w:r w:rsidRPr="00EB6B96">
          <w:rPr>
            <w:rStyle w:val="Hyperlink"/>
            <w:rFonts w:asciiTheme="minorHAnsi" w:eastAsia="Times New Roman" w:hAnsiTheme="minorHAnsi" w:cstheme="minorHAnsi"/>
            <w:noProof/>
            <w:color w:val="000000" w:themeColor="text1"/>
            <w:szCs w:val="24"/>
            <w:u w:val="none"/>
          </w:rPr>
          <w:t>Van Meel, 2011</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its implementation was rare in Spain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{"citationItems":[{"id":"ITEM-1","itemData":{"DOI":"10.1108/02632770210448428","ISSN":"02632772","abstract":"In this paper, we present the concept of telecentres as an aid to socio-economic development in deprived rural and urban areas, and analyse the use of information technology in these workplaces. Numerous public and not-for-profit organisations are subsidising these initiatives as pilot development aid projects on a international scale. We have undertaken an empirical study on a Spanish scale with the following objectives: to know how many telecentres exist in Spain; to identify their state, category and organizational characteristics; to discover what services they offer; to determine the marketing strategies they employ; and to identify the principal factors that determine their success. © 2002, MCB UP Limited","author":[{"dropping-particle":"","family":"Águila Obra","given":"Ana Rosa","non-dropping-particle":"del","parse-names":false,"suffix":""},{"dropping-particle":"","family":"Cámara","given":"Sebastián Bruque","non-dropping-particle":"","parse-names":false,"suffix":""},{"dropping-particle":"","family":"Meléndez","given":"Antonio Padilla","non-dropping-particle":"","parse-names":false,"suffix":""}],"container-title":"Facilities","id":"ITEM-1","issued":{"date-parts":[["2002"]]},"page":"394-399","title":"An analysis of teleworking centres in Spain","type":"article-journal","volume":"20"},"uris":["http://www.mendeley.com/documents/?uuid=28529005-9b7a-4c5a-9bd2-623b01ae38c6"]}],"mendeley":{"formattedCitation":"(del Águila Obra et al., 2002)","plainTextFormattedCitation":"(del Águila Obra et al., 2002)","previouslyFormattedCitation":"(del Águila Obra et al., 2002)"},"properties":{"noteIndex":0},"schema":"https://github.com/citation-style-language/schema/raw/master/csl-citation.json"}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hyperlink w:anchor="seven" w:history="1">
        <w:r w:rsidRPr="00EB6B96">
          <w:rPr>
            <w:rStyle w:val="Hyperlink"/>
            <w:rFonts w:asciiTheme="minorHAnsi" w:eastAsia="Times New Roman" w:hAnsiTheme="minorHAnsi" w:cstheme="minorHAnsi"/>
            <w:noProof/>
            <w:color w:val="000000" w:themeColor="text1"/>
            <w:szCs w:val="24"/>
            <w:u w:val="none"/>
          </w:rPr>
          <w:t>(del Águila Obra et al., 2002</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According to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{"citationItems":[{"id":"ITEM-1","itemData":{"ISBN":"9780262632058","author":[{"dropping-particle":"","family":"Mitchell","given":"William J.","non-dropping-particle":"","parse-names":false,"suffix":""}],"id":"ITEM-1","issued":{"date-parts":[["1999"]]},"number-of-pages":"190","publisher":"MIT Press","publisher-place":"Cambridge","title":"E-topia- Urban Life, Jim—But Not As We Know It","type":"book"},"uris":["http://www.mendeley.com/documents/?uuid=3218614e-d010-4db9-b175-b572e8bdfb21"]}],"mendeley":{"formattedCitation":"(Mitchell, 1999)","plainTextFormattedCitation":"(Mitchell, 1999)","previouslyFormattedCitation":"((Mitchell, 1999)"},"properties":{"noteIndex":0},"schema":"https://github.com/citation-style-language/schema/raw/master/csl-citation.json"}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Mitchell (</w:t>
      </w:r>
      <w:hyperlink w:anchor="twentythree" w:history="1">
        <w:r w:rsidRPr="00EB6B96">
          <w:rPr>
            <w:rStyle w:val="Hyperlink"/>
            <w:rFonts w:asciiTheme="minorHAnsi" w:eastAsia="Times New Roman" w:hAnsiTheme="minorHAnsi" w:cstheme="minorHAnsi"/>
            <w:noProof/>
            <w:color w:val="000000" w:themeColor="text1"/>
            <w:szCs w:val="24"/>
            <w:u w:val="none"/>
          </w:rPr>
          <w:t>1999</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remote working brought the home and the workplace back together, after the industrial revolution had separated it as the result of functional and spatial specialisation. Yet in turn, this would mean, on the one hand, an increase in demand for space for remote working at home with similar qualities to those of conventional offices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{"citationItems":[{"id":"ITEM-1","itemData":{"DOI":"10.1108/02632771011023113","ISBN":"0263277101102","ISSN":"02632772","abstract":"Purpose: The purpose of this paper is to provide a literature review of the home offices of teleworkers employed by organizations in an attempt to understand the relationships between the design and physical conditions of home offices and teleworkers' work behaviours and to identify new areas of research around home offices. Design/methodology/approach: An extensive review of the research literature in home working, teleworking, and conventional office settings from multiple disciplines was carried out. Findings: This review has located no recent studies that focus on the design and conditions of home-offices of teleworkers employed by organizations. The research on home working and on conventional offices suggests that teleworkers desire qualities in their home offices similar to those of conventional offices. Little is known about how the physical conditions of dwellings and family variables affect the effectiveness of home offices as a workplace. Research limitations/implications: Little empirical research focused on home offices is available, so much more research is needed. Practical implications: The design of home workspace must meet the needs of teleworkers and their families' home environment. The cost savings in corporate facilities must be balanced against the workplace needs of their employees. Originality/value: The paper fills a gap in research about teleworking in home offices by integrating research from two related areas: homeworking and conventional office environment. © Emerald Group Publishing Limited.","author":[{"dropping-particle":"","family":"Ng","given":"Cheuk Fan","non-dropping-particle":"","parse-names":false,"suffix":""}],"container-title":"Facilities","id":"ITEM-1","issue":"3-4","issued":{"date-parts":[["2010"]]},"page":"137-155","title":"Teleworker's home office: An extension of corporate office?","type":"article-journal","volume":"28"},"uris":["http://www.mendeley.com/documents/?uuid=bfe4e836-adb0-4298-a614-ffc9e58bb117"]}],"mendeley":{"formattedCitation":"(Ng, 2010)","plainTextFormattedCitation":"(Ng, 2010)","previouslyFormattedCitation":"(Ng, 2010)"},"properties":{"noteIndex":0},"schema":"https://github.com/citation-style-language/schema/raw/master/csl-citation.json"}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wenty5" w:history="1">
        <w:r w:rsidRPr="00EB6B96">
          <w:rPr>
            <w:rStyle w:val="Hyperlink"/>
            <w:rFonts w:asciiTheme="minorHAnsi" w:eastAsia="Times New Roman" w:hAnsiTheme="minorHAnsi" w:cstheme="minorHAnsi"/>
            <w:noProof/>
            <w:color w:val="000000" w:themeColor="text1"/>
            <w:szCs w:val="24"/>
            <w:u w:val="none"/>
          </w:rPr>
          <w:t>Ng, 2010</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and, on the other hand, adequate access to information and telecommunication technologies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{"citationItems":[{"id":"ITEM-1","itemData":{"DOI":"10.1108/02632770010312204","ISSN":"02632772","abstract":"This paper examines the concept and the implementation of telecommuting and how it will affect the employee, organization and the general business environment. It also provides suggestions for employers implementing a telecommuting program. In this new millennium, it is obvious that the workforce and the way of work are changing drastically. Telecommuting, or allowing the employees to perform their jobs away from the central or primary business location, is increasing. While many jobs have some aspects that may lend themselves to telecommuting, white-collar jobs that require a great amount of independent work are the most suitable for telecommuting. The paper also discusses the importance of selecting the right employees for telecommuting. © 2000, MCB UP Limited","author":[{"dropping-particle":"","family":"Ahmadi","given":"Mohammad","non-dropping-particle":"","parse-names":false,"suffix":""},{"dropping-particle":"","family":"Helms","given":"Marilyn M.","non-dropping-particle":"","parse-names":false,"suffix":""},{"dropping-particle":"","family":"Ross","given":"Tammy J.","non-dropping-particle":"","parse-names":false,"suffix":""}],"container-title":"Facilities","id":"ITEM-1","issue":"December 1999","issued":{"date-parts":[["2000"]]},"page":"83-89","title":"Technological developments: Shaping the telecommuting work environment of the future","type":"article-journal","volume":"18"},"uris":["http://www.mendeley.com/documents/?uuid=52b2dc9f-887d-47bc-9f1b-a381b4ebb271"]},{"id":"ITEM-2","itemData":{"DOI":"https://doi.org/10.1108/EUM0000000002147","author":[{"dropping-particle":"","family":"Broderick","given":"W.R.","non-dropping-particle":"","parse-names":false,"suffix":""}],"container-title":"Facilities","id":"ITEM-2","issue":"5","issued":{"date-parts":[["1991"]]},"page":"6-8","title":"Offices: What Have They Got to Do With Telecommuting","type":"article-journal","volume":"9"},"uris":["http://www.mendeley.com/documents/?uuid=944ef85c-4d8d-4dbc-a270-521e1075142a"]},{"id":"ITEM-3","itemData":{"DOI":"10.3390/su122310198","ISSN":"20711050","abstract":"The confinement by COVID-19 has meant a re-reading of housing for Spanish households, resulting in the only available and safe space to carry out daily activity. This complex phenomenon has generated a completely different way of inhabiting it, as well as of relating to domestic spaces. For this reason, the home perception and its characteristics must be evaluated, highlighting those perceived as deficiencies, or as preferences in such an unusual context as lockdown, where the experience was different depending on the dwelling characteristics, and the family in question. To deepen in this double perception home-dwelling, a mixed method was used, with two online forms. The first is a quantitative questionnaire, while the second asks the participants for photographs and narratives about such images. More than 1800 surveys and 785 qualitative responses were obtained. From both approaches, the joint discourse arose, allowing an exploratory analysis of the current situation of the Spanish residential park, and the resilience demonstrated in this period by both households and their usual dwellings. This study should facilitate the development of new proposals on housing in contexts similar to the COVID-19 pandemic.","author":[{"dropping-particle":"","family":"Cuerdo-Vilches","given":"Teresa","non-dropping-particle":"","parse-names":false,"suffix":""},{"dropping-particle":"","family":"Navas-Martín","given":"Miguel Ángel","non-dropping-particle":"","parse-names":false,"suffix":""},{"dropping-particle":"","family":"Oteiza","given":"Ignacio","non-dropping-particle":"","parse-names":false,"suffix":""}],"container-title":"Sustainability (Switzerland)","id":"ITEM-3","issue":"23","issued":{"date-parts":[["2020"]]},"page":"1-24","title":"A mixed approach on resilience of spanish dwellings and households during covid-19 lockdown","type":"article-journal","volume":"12"},"uris":["http://www.mendeley.com/documents/?uuid=a71833bf-4f1f-4cba-be4b-22217e71fd3d"]}],"mendeley":{"formattedCitation":"(Ahmadi et al., 2000; Broderick, 1991; Cuerdo-Vilches et al., 2020)","plainTextFormattedCitation":"(Ahmadi et al., 2000; Broderick, 1991; Cuerdo-Vilches et al., 2020)","previouslyFormattedCitation":"(Ahmadi et al., 2000; Broderick, 1991; Cuerdo-Vilches et al., 2020)"},"properties":{"noteIndex":0},"schema":"https://github.com/citation-style-language/schema/raw/master/csl-citation.json"}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one" w:history="1">
        <w:r w:rsidRPr="00EB6B96">
          <w:rPr>
            <w:rStyle w:val="Hyperlink"/>
            <w:rFonts w:asciiTheme="minorHAnsi" w:eastAsia="Times New Roman" w:hAnsiTheme="minorHAnsi" w:cstheme="minorHAnsi"/>
            <w:noProof/>
            <w:color w:val="000000" w:themeColor="text1"/>
            <w:szCs w:val="24"/>
            <w:u w:val="none"/>
          </w:rPr>
          <w:t>Ahmadi et al., 2000</w:t>
        </w:r>
      </w:hyperlink>
      <w:r w:rsidRPr="00EB6B96">
        <w:rPr>
          <w:rFonts w:asciiTheme="minorHAnsi" w:eastAsia="Times New Roman" w:hAnsiTheme="minorHAnsi" w:cstheme="minorHAnsi"/>
          <w:noProof/>
          <w:color w:val="000000" w:themeColor="text1"/>
          <w:szCs w:val="24"/>
        </w:rPr>
        <w:t xml:space="preserve">; </w:t>
      </w:r>
      <w:hyperlink w:anchor="four" w:history="1">
        <w:r w:rsidRPr="00EB6B96">
          <w:rPr>
            <w:rStyle w:val="Hyperlink"/>
            <w:rFonts w:asciiTheme="minorHAnsi" w:eastAsia="Times New Roman" w:hAnsiTheme="minorHAnsi" w:cstheme="minorHAnsi"/>
            <w:noProof/>
            <w:color w:val="000000" w:themeColor="text1"/>
            <w:szCs w:val="24"/>
            <w:u w:val="none"/>
          </w:rPr>
          <w:t>Broderick, 1991</w:t>
        </w:r>
      </w:hyperlink>
      <w:r w:rsidRPr="00EB6B96">
        <w:rPr>
          <w:rFonts w:asciiTheme="minorHAnsi" w:eastAsia="Times New Roman" w:hAnsiTheme="minorHAnsi" w:cstheme="minorHAnsi"/>
          <w:noProof/>
          <w:color w:val="000000" w:themeColor="text1"/>
          <w:szCs w:val="24"/>
        </w:rPr>
        <w:t xml:space="preserve">; </w:t>
      </w:r>
      <w:hyperlink w:anchor="six" w:history="1">
        <w:r w:rsidRPr="00EB6B96">
          <w:rPr>
            <w:rStyle w:val="Hyperlink"/>
            <w:rFonts w:asciiTheme="minorHAnsi" w:eastAsia="Times New Roman" w:hAnsiTheme="minorHAnsi" w:cstheme="minorHAnsi"/>
            <w:noProof/>
            <w:color w:val="000000" w:themeColor="text1"/>
            <w:szCs w:val="24"/>
            <w:u w:val="none"/>
          </w:rPr>
          <w:t>Cuerdo-Vilches et al., 2020</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in an appropriate, safe and healthy work environment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10.1108/02632779510083331","author":[{"dropping-particle":"","family":"Harmon-Vaughan","given":"B.","non-dropping-particle":"","parse-names":false,"suffix":""}],"container-title":"Facilites","id":"ITEM-1","issue":"4","issued":{"date-parts":[["1995"]]},"page":"6-13","title":"Tomorrow's workplace: anywhere, anytime","type":"article-journal","volume":"13"},"uris":["http://www.mendeley.com/documents/?uuid=bbf79657-00bd-4f55-aa97-55993369a954"]},{"id":"ITEM-2","itemData":{"DOI":"10.1108/02632779810235744","ISSN":"02632772","abstract":"The last few years have seen a growth in interest in the concept of teleworking, and current predictions suggest that this could become a common mode of working in future. This paper describes an investigation into the working environment of teleworking, examining the currently-debated issues associated with it, and laying out the potential advantages and drawbacks. Views solicited from workers currently operating within a teleworking regime in a large UK organization are presented and discussed. A small-scale experimental study of the psychological and sociological effects associated with teleworking is then described, and the results and implications discussed. Finally, a set of teleworking guidelines for work managers is proposed. © 1998, MCB UP Limited","author":[{"dropping-particle":"","family":"Hobbs","given":"Dave","non-dropping-particle":"","parse-names":false,"suffix":""},{"dropping-particle":"","family":"Armstrong","given":"James","non-dropping-particle":"","parse-names":false,"suffix":""}],"container-title":"Facilities","id":"ITEM-2","issue":"12-13","issued":{"date-parts":[["1998"]]},"page":"366-371","title":"An experimental study of social and psychological aspects of teleworking","type":"article-journal","volume":"16"},"uris":["http://www.mendeley.com/documents/?uuid=d052e037-509c-44d4-9409-8822728472cc"]},{"id":"ITEM-3","itemData":{"DOI":"10.1177/0961463X06061782","ISSN":"0961463X","abstract":"Times have changed. The distinctions between work time and household time are no longer limited by the constraints of physical space. Indeed, the boundaries of time and space between the home and the outside world have been blurred by home computers, faxes, email, pagers, and other technologies, bringing home into the workplace and work into the home space. The purpose of this manuscript is to re-examine the time'space relationship as new patterns of time use are necessitated by home workspaces. My particular interest lies in proposing and developing a conceptual schema that helps researchers to examine the intra-household time interactions that result when workspaces are integrated within the home space. In the present study, I develop a set of research propositions and a conceptual framework for analytical use. © 2006, SAGE. All rights reserved.","author":[{"dropping-particle":"","family":"Kaufman-Scarborough","given":"Carol","non-dropping-particle":"","parse-names":false,"suffix":""}],"container-title":"Time &amp; Society","id":"ITEM-3","issue":"1","issued":{"date-parts":[["2006"]]},"page":"57-80","title":"Time Use and the Impact of Technology: Examining workspaces in the home","type":"article-journal","volume":"15"},"uris":["http://www.mendeley.com/documents/?uuid=ba8cfbcf-c234-4a5b-9a5e-50c8d6cabff2"]},{"id":"ITEM-4","itemData":{"DOI":"10.1080/15568318.2016.1193779","ISSN":"15568334","abstract":"Telecommuting is regarded as a sustainable travel-demand management strategy. In investigating how much telecommuting reduces travel, studies typically adopt one method of the following three: (1) multiplying the telecommuting frequency by the round-trip commute distance, (2) measuring travel changes using quasi-experiments, and (3) determining the marginal effect of telecommuting on travel using econometric analyses. However, each approach has methodological limitations, and previous studies fail to take into consideration various aspects of household travel other than the telecommuter's commute. Against this backdrop, this study presents an alternative approach to estimating the impact of the household head's telecommuting on total household travel other than his or her commute travel using data from the 2006 Household Travel Survey in Korea. Our series of stratified tobit regression analyses show that when the household head does not commute, the usual compensatory travel mechanism induces person-kilometers traveled of 2 km. This rebound effect doubles when the household head telecommutes, although not on regular commuting days. The effect suggests that the benefits of telecommuting are significantly less than anticipated. Consequently, planners and policy makers should consider this counteracting effect when predicting the travel reduction effect of telecommuting or determining the level of telecommuting required to achieve environmental policy goals for urban sustainability.","author":[{"dropping-particle":"","family":"Kim","given":"Seung Nam","non-dropping-particle":"","parse-names":false,"suffix":""}],"container-title":"International Journal of Sustainable Transportation","id":"ITEM-4","issued":{"date-parts":[["2017"]]},"title":"Is telecommuting sustainable? An alternative approach to estimating the impact of home-based telecommuting on household travel","type":"article-journal"},"uris":["http://www.mendeley.com/documents/?uuid=73f212d5-5a9c-4cc7-8a16-9a3437745b1a"]}],"mendeley":{"formattedCitation":"(Harmon-Vaughan, 1995; Hobbs &amp; Armstrong, 1998; Kaufman-Scarborough, 2006; Kim, 2017)","plainTextFormattedCitation":"(Harmon-Vaughan, 1995; Hobbs &amp; Armstrong, 1998; Kaufman-Scarborough, 2006; Kim, 2017)","previouslyFormattedCitation":"(Harmon-Vaughan, 1995; Hobbs &amp; Armstrong, 1998; Kaufman-Scarborough, 2006; Kim, 2017)"},"properties":{"noteIndex":0},"schema":"https://github.com/citation-style-language/schema/raw/master/csl-citation.json"}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fourteen" w:history="1">
        <w:r w:rsidRPr="00EB6B96">
          <w:rPr>
            <w:rStyle w:val="Hyperlink"/>
            <w:rFonts w:asciiTheme="minorHAnsi" w:eastAsia="Times New Roman" w:hAnsiTheme="minorHAnsi" w:cstheme="minorHAnsi"/>
            <w:noProof/>
            <w:color w:val="000000" w:themeColor="text1"/>
            <w:szCs w:val="24"/>
            <w:u w:val="none"/>
          </w:rPr>
          <w:t>Harmon-Vaughan, 1995</w:t>
        </w:r>
      </w:hyperlink>
      <w:r w:rsidRPr="00EB6B96">
        <w:rPr>
          <w:rFonts w:asciiTheme="minorHAnsi" w:eastAsia="Times New Roman" w:hAnsiTheme="minorHAnsi" w:cstheme="minorHAnsi"/>
          <w:noProof/>
          <w:color w:val="000000" w:themeColor="text1"/>
          <w:szCs w:val="24"/>
        </w:rPr>
        <w:t xml:space="preserve">; </w:t>
      </w:r>
      <w:hyperlink w:anchor="sixteen" w:history="1">
        <w:r w:rsidRPr="00EB6B96">
          <w:rPr>
            <w:rStyle w:val="Hyperlink"/>
            <w:rFonts w:asciiTheme="minorHAnsi" w:eastAsia="Times New Roman" w:hAnsiTheme="minorHAnsi" w:cstheme="minorHAnsi"/>
            <w:noProof/>
            <w:color w:val="000000" w:themeColor="text1"/>
            <w:szCs w:val="24"/>
            <w:u w:val="none"/>
          </w:rPr>
          <w:t>Hobbs &amp; Armstrong, 1998</w:t>
        </w:r>
      </w:hyperlink>
      <w:r w:rsidRPr="00EB6B96">
        <w:rPr>
          <w:rFonts w:asciiTheme="minorHAnsi" w:eastAsia="Times New Roman" w:hAnsiTheme="minorHAnsi" w:cstheme="minorHAnsi"/>
          <w:noProof/>
          <w:color w:val="000000" w:themeColor="text1"/>
          <w:szCs w:val="24"/>
        </w:rPr>
        <w:t xml:space="preserve">; </w:t>
      </w:r>
      <w:hyperlink w:anchor="eighteen" w:history="1">
        <w:r w:rsidRPr="00EB6B96">
          <w:rPr>
            <w:rStyle w:val="Hyperlink"/>
            <w:rFonts w:asciiTheme="minorHAnsi" w:eastAsia="Times New Roman" w:hAnsiTheme="minorHAnsi" w:cstheme="minorHAnsi"/>
            <w:noProof/>
            <w:color w:val="000000" w:themeColor="text1"/>
            <w:szCs w:val="24"/>
            <w:u w:val="none"/>
          </w:rPr>
          <w:t>Kaufman-Scarborough, 2006</w:t>
        </w:r>
      </w:hyperlink>
      <w:r w:rsidRPr="00EB6B96">
        <w:rPr>
          <w:rFonts w:asciiTheme="minorHAnsi" w:eastAsia="Times New Roman" w:hAnsiTheme="minorHAnsi" w:cstheme="minorHAnsi"/>
          <w:noProof/>
          <w:color w:val="000000" w:themeColor="text1"/>
          <w:szCs w:val="24"/>
        </w:rPr>
        <w:t xml:space="preserve">; </w:t>
      </w:r>
      <w:bookmarkStart w:id="4" w:name="_Hlk79774030"/>
      <w:r w:rsidRPr="00EB6B96">
        <w:rPr>
          <w:rFonts w:asciiTheme="minorHAnsi" w:eastAsia="Times New Roman" w:hAnsiTheme="minorHAnsi" w:cstheme="minorHAnsi"/>
          <w:noProof/>
          <w:color w:val="000000" w:themeColor="text1"/>
          <w:szCs w:val="24"/>
        </w:rPr>
        <w:t>Kim</w:t>
      </w:r>
      <w:bookmarkEnd w:id="4"/>
      <w:r w:rsidRPr="00EB6B96">
        <w:rPr>
          <w:rFonts w:asciiTheme="minorHAnsi" w:eastAsia="Times New Roman" w:hAnsiTheme="minorHAnsi" w:cstheme="minorHAnsi"/>
          <w:noProof/>
          <w:color w:val="000000" w:themeColor="text1"/>
          <w:szCs w:val="24"/>
        </w:rPr>
        <w:t>, 2017)</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w:t>
      </w:r>
    </w:p>
    <w:p w14:paraId="00ADE034" w14:textId="703B7219" w:rsidR="001F634F" w:rsidRPr="00EB6B96" w:rsidRDefault="001F634F" w:rsidP="006B6923">
      <w:pPr>
        <w:tabs>
          <w:tab w:val="left" w:pos="10080"/>
        </w:tabs>
        <w:ind w:right="-333"/>
        <w:rPr>
          <w:rFonts w:asciiTheme="minorHAnsi" w:eastAsia="Times New Roman" w:hAnsiTheme="minorHAnsi" w:cstheme="minorHAnsi"/>
          <w:color w:val="000000" w:themeColor="text1"/>
          <w:szCs w:val="24"/>
        </w:rPr>
      </w:pPr>
      <w:r w:rsidRPr="00EB6B96">
        <w:rPr>
          <w:rFonts w:asciiTheme="minorHAnsi" w:eastAsia="Times New Roman" w:hAnsiTheme="minorHAnsi" w:cstheme="minorHAnsi"/>
          <w:color w:val="000000" w:themeColor="text1"/>
          <w:szCs w:val="24"/>
        </w:rPr>
        <w:t xml:space="preserve">As regards space, current housing is not designed for working from home and alterations would be needed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{"citationItems":[{"id":"ITEM-1","itemData":{"ISBN":"0774808462","author":[{"dropping-particle":"","family":"Gurstein","given":"P.","non-dropping-particle":"","parse-names":false,"suffix":""}],"id":"ITEM-1","issued":{"date-parts":[["2001"]]},"publisher":"University of British Columbia Press","publisher-place":"Vancouver","title":"Wired to the World, Chained to the Home: Telework in Daily Life","type":"book"},"uris":["http://www.mendeley.com/documents/?uuid=0a1d2075-f2b9-4769-b330-202b2d596f98"]},{"id":"ITEM-2","itemData":{"DOI":"10.1111/j.1939-1668.2000.tb00357.x","author":[{"dropping-particle":"","family":"Magee","given":"J. L.","non-dropping-particle":"","parse-names":false,"suffix":""}],"container-title":"Journal of Interior Design","id":"ITEM-2","issue":"1","issued":{"date-parts":[["2000"]]},"page":"35-47","title":"Home as an alternative workplace: negotiating the spatial and behavioral boundaries between home and work","type":"article-journal","volume":"26"},"uris":["http://www.mendeley.com/documents/?uuid=de659f84-071e-4bf2-9346-af407a4890b5"]}],"mendeley":{"formattedCitation":"(Gurstein, 2001; Magee, 2000)","plainTextFormattedCitation":"(Gurstein, 2001; Magee, 2000)","previouslyFormattedCitation":"(Gurstein, 2001; Magee, 2000)"},"properties":{"noteIndex":0},"schema":"https://github.com/citation-style-language/schema/raw/master/csl-citation.json"}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hirteen" w:history="1">
        <w:r w:rsidRPr="00EB6B96">
          <w:rPr>
            <w:rStyle w:val="Hyperlink"/>
            <w:rFonts w:asciiTheme="minorHAnsi" w:eastAsia="Times New Roman" w:hAnsiTheme="minorHAnsi" w:cstheme="minorHAnsi"/>
            <w:noProof/>
            <w:color w:val="000000" w:themeColor="text1"/>
            <w:szCs w:val="24"/>
            <w:u w:val="none"/>
          </w:rPr>
          <w:t>Gurstein, 2001</w:t>
        </w:r>
      </w:hyperlink>
      <w:r w:rsidRPr="00EB6B96">
        <w:rPr>
          <w:rFonts w:asciiTheme="minorHAnsi" w:eastAsia="Times New Roman" w:hAnsiTheme="minorHAnsi" w:cstheme="minorHAnsi"/>
          <w:noProof/>
          <w:color w:val="000000" w:themeColor="text1"/>
          <w:szCs w:val="24"/>
        </w:rPr>
        <w:t xml:space="preserve">; </w:t>
      </w:r>
      <w:hyperlink w:anchor="twentyone" w:history="1">
        <w:r w:rsidRPr="00EB6B96">
          <w:rPr>
            <w:rStyle w:val="Hyperlink"/>
            <w:rFonts w:asciiTheme="minorHAnsi" w:eastAsia="Times New Roman" w:hAnsiTheme="minorHAnsi" w:cstheme="minorHAnsi"/>
            <w:noProof/>
            <w:color w:val="000000" w:themeColor="text1"/>
            <w:szCs w:val="24"/>
            <w:u w:val="none"/>
          </w:rPr>
          <w:t>Magee, 2000</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With the COVID-19 lockdown, many workers were forced into a work-from-home (WFH) using any available space at their home (bedrooms, living rooms, kitchen or terraces), such as pop-up offices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{"citationItems":[{"id":"ITEM-1","itemData":{"DOI":"10.3828/tpr.2020.79","ISSN":"0041-0020","abstract":"Nan et al discuss the COVID-19 implications for housing. The COVID-19 pandemic has made \"home\" an absolute focal point of people's lives. The socio-economic upheaval experienced so far is unlikely to end soon, and more complex and possibly much more severe socio-economic impacts might follow as the COVID-19 repercussions travel through the ramified world with layers of economic (national and local) and institutional structures. Much will depend on how local and national governments attempt to intervene at various territorial scales over time.","author":[{"dropping-particle":"","family":"Nanda","given":"Anupam","non-dropping-particle":"","parse-names":false,"suffix":""},{"dropping-particle":"","family":"Thanos","given":"Sotirios","non-dropping-particle":"","parse-names":false,"suffix":""},{"dropping-particle":"","family":"Valtonen","given":"Eero","non-dropping-particle":"","parse-names":false,"suffix":""},{"dropping-particle":"","family":"Xu","given":"Yishuang","non-dropping-particle":"","parse-names":false,"suffix":""},{"dropping-particle":"","family":"Zandieh","given":"Razieh","non-dropping-particle":"","parse-names":false,"suffix":""}],"container-title":"Town Planning Review","id":"ITEM-1","issue":"1","issued":{"date-parts":[["2021"]]},"page":"25-31","title":"Forced homeward: the COVID-19 implications for housing","type":"article-journal","volume":"92"},"uris":["http://www.mendeley.com/documents/?uuid=bd57a548-a3c9-4a4b-a47e-0ba2fcc47c12"]}],"mendeley":{"formattedCitation":"(Nanda et al., 2021)","plainTextFormattedCitation":"(Nanda et al., 2021)","previouslyFormattedCitation":"(Nanda et al., 2021)"},"properties":{"noteIndex":0},"schema":"https://github.com/citation-style-language/schema/raw/master/csl-citation.json"}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wenty4" w:history="1">
        <w:r w:rsidRPr="00EB6B96">
          <w:rPr>
            <w:rStyle w:val="Hyperlink"/>
            <w:rFonts w:asciiTheme="minorHAnsi" w:eastAsia="Times New Roman" w:hAnsiTheme="minorHAnsi" w:cstheme="minorHAnsi"/>
            <w:noProof/>
            <w:color w:val="000000" w:themeColor="text1"/>
            <w:szCs w:val="24"/>
            <w:u w:val="none"/>
          </w:rPr>
          <w:t>Nanda et al., 2021</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A minimum of 60 m</w:t>
      </w:r>
      <w:r w:rsidRPr="00EB6B96">
        <w:rPr>
          <w:rFonts w:asciiTheme="minorHAnsi" w:eastAsia="Times New Roman" w:hAnsiTheme="minorHAnsi" w:cstheme="minorHAnsi"/>
          <w:color w:val="000000" w:themeColor="text1"/>
          <w:szCs w:val="24"/>
          <w:vertAlign w:val="superscript"/>
        </w:rPr>
        <w:t>2</w:t>
      </w:r>
      <w:r w:rsidRPr="00EB6B96">
        <w:rPr>
          <w:rFonts w:asciiTheme="minorHAnsi" w:eastAsia="Times New Roman" w:hAnsiTheme="minorHAnsi" w:cstheme="minorHAnsi"/>
          <w:color w:val="000000" w:themeColor="text1"/>
          <w:szCs w:val="24"/>
        </w:rPr>
        <w:t xml:space="preserve"> surface area per housing unit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10.3390/ijerph17165973","author":[{"dropping-particle":"","family":"Amerio","given":"A.","non-dropping-particle":"","parse-names":false,"suffix":""},{"dropping-particle":"","family":"Brambilla","given":"A.","non-dropping-particle":"","parse-names":false,"suffix":""},{"dropping-particle":"","family":"Morganti","given":"A.","non-dropping-particle":"","parse-names":false,"suffix":""},{"dropping-particle":"","family":"Aguglia","given":"A.","non-dropping-particle":"","parse-names":false,"suffix":""},{"dropping-particle":"","family":"Bianchi","given":"D.","non-dropping-particle":"","parse-names":false,"suffix":""},{"dropping-particle":"","family":"Santi","given":"F.","non-dropping-particle":"","parse-names":false,"suffix":""},{"dropping-particle":"","family":"Costantini","given":"L.","non-dropping-particle":"","parse-names":false,"suffix":""},{"dropping-particle":"","family":"Odone","given":"A.","non-dropping-particle":"","parse-names":false,"suffix":""},{"dropping-particle":"","family":"Costanza","given":"A.","non-dropping-particle":"","parse-names":false,"suffix":""},{"dropping-particle":"","family":"Signorelli","given":"C.","non-dropping-particle":"","parse-names":false,"suffix":""},{"dropping-particle":"","family":"Serafini","given":"G.","non-dropping-particle":"","parse-names":false,"suffix":""},{"dropping-particle":"","family":"Amore","given":"M.","non-dropping-particle":"","parse-names":false,"suffix":""},{"dropping-particle":"","family":"Capolongo","given":"S.","non-dropping-particle":"","parse-names":false,"suffix":""}],"container-title":"International Journal of Environmental Research and Public Health","id":"ITEM-1","issue":"16","issued":{"date-parts":[["2020"]]},"page":"5973","title":"COVID-19 Lockdown: Housing Built Environment’s Effects on Mental Health","type":"article-journal","volume":"17"},"uris":["http://www.mendeley.com/documents/?uuid=47e60eb7-1ac6-43c1-a692-f08031e21087"]}],"mendeley":{"formattedCitation":"(Amerio et al., 2020)","plainTextFormattedCitation":"(Amerio et al., 2020)","previouslyFormattedCitation":"(Amerio et al., 2020)"},"properties":{"noteIndex":0},"schema":"https://github.com/citation-style-language/schema/raw/master/csl-citation.json"}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wo" w:history="1">
        <w:r w:rsidRPr="00EB6B96">
          <w:rPr>
            <w:rStyle w:val="Hyperlink"/>
            <w:rFonts w:asciiTheme="minorHAnsi" w:eastAsia="Times New Roman" w:hAnsiTheme="minorHAnsi" w:cstheme="minorHAnsi"/>
            <w:noProof/>
            <w:color w:val="000000" w:themeColor="text1"/>
            <w:szCs w:val="24"/>
            <w:u w:val="none"/>
          </w:rPr>
          <w:t>Amerio et al., 2020</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and the importance of housing overlooking green areas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10.3390/ijerph17165973","author":[{"dropping-particle":"","family":"Amerio","given":"A.","non-dropping-particle":"","parse-names":false,"suffix":""},{"dropping-particle":"","family":"Brambilla","given":"A.","non-dropping-particle":"","parse-names":false,"suffix":""},{"dropping-particle":"","family":"Morganti","given":"A.","non-dropping-particle":"","parse-names":false,"suffix":""},{"dropping-particle":"","family":"Aguglia","given":"A.","non-dropping-particle":"","parse-names":false,"suffix":""},{"dropping-particle":"","family":"Bianchi","given":"D.","non-dropping-particle":"","parse-names":false,"suffix":""},{"dropping-particle":"","family":"Santi","given":"F.","non-dropping-particle":"","parse-names":false,"suffix":""},{"dropping-particle":"","family":"Costantini","given":"L.","non-dropping-particle":"","parse-names":false,"suffix":""},{"dropping-particle":"","family":"Odone","given":"A.","non-dropping-particle":"","parse-names":false,"suffix":""},{"dropping-particle":"","family":"Costanza","given":"A.","non-dropping-particle":"","parse-names":false,"suffix":""},{"dropping-particle":"","family":"Signorelli","given":"C.","non-dropping-particle":"","parse-names":false,"suffix":""},{"dropping-particle":"","family":"Serafini","given":"G.","non-dropping-particle":"","parse-names":false,"suffix":""},{"dropping-particle":"","family":"Amore","given":"M.","non-dropping-particle":"","parse-names":false,"suffix":""},{"dropping-particle":"","family":"Capolongo","given":"S.","non-dropping-particle":"","parse-names":false,"suffix":""}],"container-title":"International Journal of Environmental Research and Public Health","id":"ITEM-1","issue":"16","issued":{"date-parts":[["2020"]]},"page":"5973","title":"COVID-19 Lockdown: Housing Built Environment’s Effects on Mental Health","type":"article-journal","volume":"17"},"uris":["http://www.mendeley.com/documents/?uuid=47e60eb7-1ac6-43c1-a692-f08031e21087"]},{"id":"ITEM-2","itemData":{"DOI":"10.25034/ijcua.2018.3656","ISSN":"2475-6164","abstract":"The rapid intensification of Auckland has made our visual awareness of the outdoor environment (windowscapes) more confined and restricted. The recent changes of Auckland’s windowscapes have made the shortcomings of the New Zealand Building Code more apparent. This paper aims to demonstrate the importance of windowscapes in urban dwellers’ life and suggest some changes to the current building code to provide healthier and liveable indoor environments. First, evidence from the literature on the impact of views on building occupants’ wellbeing will be reviewed. Then, New Zealand Code Clause (G7 Natural light) and its Acceptable Solution will be critically analysed to identify areas that require improvement.Our literature review indicates that private views are more relevant for health and wellbeing than building and planning legislation in New Zealand currently considers them to be. Hence, this paper suggests that windowscapes should become an essential part of future building codes and standards. This paper concludes that providing strict requirements regarding windowscapes is essential to building a healthier indoor environment.","author":[{"dropping-particle":"","family":"Mirza","given":"Leila","non-dropping-particle":"","parse-names":false,"suffix":""},{"dropping-particle":"","family":"Byrd","given":"Hugh","non-dropping-particle":"","parse-names":false,"suffix":""}],"container-title":"Journal of Contemporary Urban Affairs","id":"ITEM-2","issue":"1","issued":{"date-parts":[["2018"]]},"page":"55-65","title":"Towards appreciating the importance of windowscapes: Evaluation and suggestion for improvement of New Zealand Building Code","type":"article-journal","volume":"2"},"uris":["http://www.mendeley.com/documents/?uuid=db6d7138-ef7d-412a-80b7-6fe6329c62bf"]}],"mendeley":{"formattedCitation":"(Amerio et al., 2020; Mirza &amp; Byrd, 2018)","plainTextFormattedCitation":"(Amerio et al., 2020; Mirza &amp; Byrd, 2018)","previouslyFormattedCitation":"(Amerio et al., 2020; Mirza &amp; Byrd, 2018)"},"properties":{"noteIndex":0},"schema":"https://github.com/citation-style-language/schema/raw/master/csl-citation.json"}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hyperlink w:anchor="two" w:history="1">
        <w:r w:rsidRPr="00EB6B96">
          <w:rPr>
            <w:rStyle w:val="Hyperlink"/>
            <w:rFonts w:asciiTheme="minorHAnsi" w:eastAsia="Times New Roman" w:hAnsiTheme="minorHAnsi" w:cstheme="minorHAnsi"/>
            <w:noProof/>
            <w:color w:val="000000" w:themeColor="text1"/>
            <w:szCs w:val="24"/>
            <w:u w:val="none"/>
          </w:rPr>
          <w:t>(Amerio et al., 2020</w:t>
        </w:r>
      </w:hyperlink>
      <w:r w:rsidRPr="00EB6B96">
        <w:rPr>
          <w:rFonts w:asciiTheme="minorHAnsi" w:eastAsia="Times New Roman" w:hAnsiTheme="minorHAnsi" w:cstheme="minorHAnsi"/>
          <w:noProof/>
          <w:color w:val="000000" w:themeColor="text1"/>
          <w:szCs w:val="24"/>
        </w:rPr>
        <w:t xml:space="preserve">; </w:t>
      </w:r>
      <w:hyperlink w:anchor="twentytwo" w:history="1">
        <w:r w:rsidRPr="00EB6B96">
          <w:rPr>
            <w:rStyle w:val="Hyperlink"/>
            <w:rFonts w:asciiTheme="minorHAnsi" w:eastAsia="Times New Roman" w:hAnsiTheme="minorHAnsi" w:cstheme="minorHAnsi"/>
            <w:noProof/>
            <w:color w:val="000000" w:themeColor="text1"/>
            <w:szCs w:val="24"/>
            <w:u w:val="none"/>
          </w:rPr>
          <w:t>Mirza &amp; Byrd, 2018</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also have to be added in that regard. With respect to the indoor quality indicators, natural lighting and thermal and acoustic insulation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{"citationItems":[{"id":"ITEM-1","itemData":{"DOI":"10.3390/su122310198","ISSN":"20711050","abstract":"The confinement by COVID-19 has meant a re-reading of housing for Spanish households, resulting in the only available and safe space to carry out daily activity. This complex phenomenon has generated a completely different way of inhabiting it, as well as of relating to domestic spaces. For this reason, the home perception and its characteristics must be evaluated, highlighting those perceived as deficiencies, or as preferences in such an unusual context as lockdown, where the experience was different depending on the dwelling characteristics, and the family in question. To deepen in this double perception home-dwelling, a mixed method was used, with two online forms. The first is a quantitative questionnaire, while the second asks the participants for photographs and narratives about such images. More than 1800 surveys and 785 qualitative responses were obtained. From both approaches, the joint discourse arose, allowing an exploratory analysis of the current situation of the Spanish residential park, and the resilience demonstrated in this period by both households and their usual dwellings. This study should facilitate the development of new proposals on housing in contexts similar to the COVID-19 pandemic.","author":[{"dropping-particle":"","family":"Cuerdo-Vilches","given":"Teresa","non-dropping-particle":"","parse-names":false,"suffix":""},{"dropping-particle":"","family":"Navas-Martín","given":"Miguel Ángel","non-dropping-particle":"","parse-names":false,"suffix":""},{"dropping-particle":"","family":"Oteiza","given":"Ignacio","non-dropping-particle":"","parse-names":false,"suffix":""}],"container-title":"Sustainability (Switzerland)","id":"ITEM-1","issue":"23","issued":{"date-parts":[["2020"]]},"page":"1-24","title":"A mixed approach on resilience of spanish dwellings and households during covid-19 lockdown","type":"article-journal","volume":"12"},"uris":["http://www.mendeley.com/documents/?uuid=a71833bf-4f1f-4cba-be4b-22217e71fd3d"]}],"mendeley":{"formattedCitation":"(Cuerdo-Vilches et al., 2020)","plainTextFormattedCitation":"(Cuerdo-Vilches et al., 2020)","previouslyFormattedCitation":"(Cuerdo-Vilches et al., 2020)"},"properties":{"noteIndex":0},"schema":"https://github.com/citation-style-language/schema/raw/master/csl-citation.json"}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six" w:history="1">
        <w:r w:rsidRPr="00EB6B96">
          <w:rPr>
            <w:rStyle w:val="Hyperlink"/>
            <w:rFonts w:asciiTheme="minorHAnsi" w:eastAsia="Times New Roman" w:hAnsiTheme="minorHAnsi" w:cstheme="minorHAnsi"/>
            <w:noProof/>
            <w:color w:val="000000" w:themeColor="text1"/>
            <w:szCs w:val="24"/>
            <w:u w:val="none"/>
          </w:rPr>
          <w:t>Cuerdo-Vilches et al., 2020</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are included, along with using windows to ensure well-aired homes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author":[{"dropping-particle":"","family":"Porrit","given":"Mike","non-dropping-particle":"","parse-names":false,"suffix":""},{"dropping-particle":"","family":"Campbell","given":"Doug","non-dropping-particle":"","parse-names":false,"suffix":""}],"container-title":"Building Design &amp; Construction","id":"ITEM-1","issued":{"date-parts":[["2020"]]},"title":"Student Housing in the COVID-19 Era","type":"article-journal"},"uris":["http://www.mendeley.com/documents/?uuid=f7c74b28-926e-42d6-badb-94d9f438fc49"]}],"mendeley":{"formattedCitation":"(Porrit &amp; Campbell, 2020)","plainTextFormattedCitation":"(Porrit &amp; Campbell, 2020)","previouslyFormattedCitation":"(Porrit &amp; Campbell, 2020)"},"properties":{"noteIndex":0},"schema":"https://github.com/citation-style-language/schema/raw/master/csl-citation.json"}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wenty6" w:history="1">
        <w:r w:rsidRPr="00EB6B96">
          <w:rPr>
            <w:rStyle w:val="Hyperlink"/>
            <w:rFonts w:asciiTheme="minorHAnsi" w:eastAsia="Times New Roman" w:hAnsiTheme="minorHAnsi" w:cstheme="minorHAnsi"/>
            <w:noProof/>
            <w:color w:val="000000" w:themeColor="text1"/>
            <w:szCs w:val="24"/>
            <w:u w:val="none"/>
          </w:rPr>
          <w:t>Porrit &amp; Campbell, 2020</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w:t>
      </w:r>
    </w:p>
    <w:p w14:paraId="33952743" w14:textId="77777777" w:rsidR="00F5485D" w:rsidRPr="00EB6B96" w:rsidRDefault="00F5485D" w:rsidP="006B6923">
      <w:pPr>
        <w:tabs>
          <w:tab w:val="left" w:pos="10080"/>
        </w:tabs>
        <w:ind w:right="-333"/>
        <w:rPr>
          <w:rFonts w:asciiTheme="minorHAnsi" w:eastAsia="Times New Roman" w:hAnsiTheme="minorHAnsi" w:cstheme="minorHAnsi"/>
          <w:color w:val="000000" w:themeColor="text1"/>
          <w:szCs w:val="24"/>
        </w:rPr>
      </w:pPr>
    </w:p>
    <w:p w14:paraId="297EE70F" w14:textId="54C9A9B9" w:rsidR="001F634F" w:rsidRPr="00EB6B96" w:rsidRDefault="001F634F" w:rsidP="006B6923">
      <w:pPr>
        <w:pStyle w:val="Heading2"/>
        <w:tabs>
          <w:tab w:val="left" w:pos="10080"/>
        </w:tabs>
        <w:spacing w:before="0"/>
        <w:ind w:right="-333"/>
        <w:rPr>
          <w:rFonts w:asciiTheme="minorHAnsi" w:hAnsiTheme="minorHAnsi" w:cstheme="minorHAnsi"/>
          <w:color w:val="000000" w:themeColor="text1"/>
        </w:rPr>
      </w:pPr>
      <w:r w:rsidRPr="00EB6B96">
        <w:rPr>
          <w:rFonts w:asciiTheme="minorHAnsi" w:hAnsiTheme="minorHAnsi" w:cstheme="minorHAnsi"/>
          <w:color w:val="000000" w:themeColor="text1"/>
        </w:rPr>
        <w:lastRenderedPageBreak/>
        <w:t>2.</w:t>
      </w:r>
      <w:r w:rsidR="00500849" w:rsidRPr="00EB6B96">
        <w:rPr>
          <w:rFonts w:asciiTheme="minorHAnsi" w:hAnsiTheme="minorHAnsi" w:cstheme="minorHAnsi"/>
          <w:color w:val="000000" w:themeColor="text1"/>
        </w:rPr>
        <w:t>1</w:t>
      </w:r>
      <w:r w:rsidRPr="00EB6B96">
        <w:rPr>
          <w:rFonts w:asciiTheme="minorHAnsi" w:hAnsiTheme="minorHAnsi" w:cstheme="minorHAnsi"/>
          <w:color w:val="000000" w:themeColor="text1"/>
        </w:rPr>
        <w:t xml:space="preserve">. Outdoor Conditions on Terraces and Balconies </w:t>
      </w:r>
    </w:p>
    <w:p w14:paraId="0472FED3" w14:textId="77777777" w:rsidR="001F634F" w:rsidRPr="00EB6B96" w:rsidRDefault="001F634F" w:rsidP="006B6923">
      <w:pPr>
        <w:tabs>
          <w:tab w:val="left" w:pos="10080"/>
        </w:tabs>
        <w:ind w:right="-333"/>
        <w:rPr>
          <w:rFonts w:asciiTheme="minorHAnsi" w:eastAsia="Times New Roman" w:hAnsiTheme="minorHAnsi" w:cstheme="minorHAnsi"/>
          <w:color w:val="000000" w:themeColor="text1"/>
          <w:szCs w:val="24"/>
        </w:rPr>
      </w:pPr>
      <w:r w:rsidRPr="00EB6B96">
        <w:rPr>
          <w:rFonts w:asciiTheme="minorHAnsi" w:eastAsia="Times New Roman" w:hAnsiTheme="minorHAnsi" w:cstheme="minorHAnsi"/>
          <w:color w:val="000000" w:themeColor="text1"/>
          <w:szCs w:val="24"/>
        </w:rPr>
        <w:t xml:space="preserve">Terraces and balconies are some of the great contributions of the hygienist movement. There is a difference between both terms: if the width is the same or smaller than the average human size, it is a balcony, while if it is larger, it can be considered a terrace as it is more comfortable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{"citationItems":[{"id":"ITEM-1","itemData":{"author":[{"dropping-particle":"","family":"Gupta","given":"Pulkit","non-dropping-particle":"","parse-names":false,"suffix":""}],"container-title":"International Journal of Research and Analytical Reviews","id":"ITEM-1","issue":"1","issued":{"date-parts":[["2019"]]},"page":"1345-1352","title":"Relevance of Terrace Space in Architecture","type":"article-journal","volume":"6"},"uris":["http://www.mendeley.com/documents/?uuid=0b6d2896-2760-40ac-a638-2d20ddf95ab0"]}],"mendeley":{"formattedCitation":"(Gupta, 2019)","plainTextFormattedCitation":"(Gupta, 2019)","previouslyFormattedCitation":"(Gupta, 2019)"},"properties":{"noteIndex":0},"schema":"https://github.com/citation-style-language/schema/raw/master/csl-citation.json"}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twelve" w:history="1">
        <w:r w:rsidRPr="00EB6B96">
          <w:rPr>
            <w:rStyle w:val="Hyperlink"/>
            <w:rFonts w:asciiTheme="minorHAnsi" w:eastAsia="Times New Roman" w:hAnsiTheme="minorHAnsi" w:cstheme="minorHAnsi"/>
            <w:noProof/>
            <w:color w:val="000000" w:themeColor="text1"/>
            <w:szCs w:val="24"/>
            <w:u w:val="none"/>
          </w:rPr>
          <w:t>Gupta, 2019</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Both elements are closely tied to a medical and hygienist role, as they are used for patients to convalesce, and they were incorporated by the Modern Movement in its architectural designs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{"citationItems":[{"id":"ITEM-1","itemData":{"DOI":"10.1017/S0025727300009169","ISSN":"00257273","PMID":"16562331","author":[{"dropping-particle":"","family":"Campbell","given":"Margaret","non-dropping-particle":"","parse-names":false,"suffix":""}],"container-title":"Medical History","id":"ITEM-1","issue":"4","issued":{"date-parts":[["2005"]]},"page":"463-488","title":"What tuberculosis did for modernism: The influence of a curative environment on modernist design and architecture","type":"article-journal","volume":"49"},"uris":["http://www.mendeley.com/documents/?uuid=196d14df-a080-434c-9d59-921ad0709459"]}],"mendeley":{"formattedCitation":"(Campbell, 2005)","plainTextFormattedCitation":"(Campbell, 2005)","previouslyFormattedCitation":"(Campbell, 2005)"},"properties":{"noteIndex":0},"schema":"https://github.com/citation-style-language/schema/raw/master/csl-citation.json"}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five" w:history="1">
        <w:r w:rsidRPr="00EB6B96">
          <w:rPr>
            <w:rStyle w:val="Hyperlink"/>
            <w:rFonts w:asciiTheme="minorHAnsi" w:eastAsia="Times New Roman" w:hAnsiTheme="minorHAnsi" w:cstheme="minorHAnsi"/>
            <w:noProof/>
            <w:color w:val="000000" w:themeColor="text1"/>
            <w:szCs w:val="24"/>
            <w:u w:val="none"/>
          </w:rPr>
          <w:t>Campbell, 2005</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xml:space="preserve">. Thus, Le Corbusier put forward the solarium or covered garden terrace as one of the five pillars of the architecture of the Modern Movement (Le-Corbusier, 1986), as manifested in the </w:t>
      </w:r>
      <w:r w:rsidRPr="00EB6B96">
        <w:rPr>
          <w:rFonts w:asciiTheme="minorHAnsi" w:eastAsia="Times New Roman" w:hAnsiTheme="minorHAnsi" w:cstheme="minorHAnsi"/>
          <w:i/>
          <w:color w:val="000000" w:themeColor="text1"/>
          <w:szCs w:val="24"/>
        </w:rPr>
        <w:t>Ville Savoye</w:t>
      </w:r>
      <w:r w:rsidRPr="00EB6B96">
        <w:rPr>
          <w:rFonts w:asciiTheme="minorHAnsi" w:eastAsia="Times New Roman" w:hAnsiTheme="minorHAnsi" w:cstheme="minorHAnsi"/>
          <w:color w:val="000000" w:themeColor="text1"/>
          <w:szCs w:val="24"/>
        </w:rPr>
        <w:t xml:space="preserve"> (1929). It was later transferred in the tower block, evolving from a large double-height space open to the façade, in the first designs of the </w:t>
      </w:r>
      <w:proofErr w:type="spellStart"/>
      <w:r w:rsidRPr="00EB6B96">
        <w:rPr>
          <w:rFonts w:asciiTheme="minorHAnsi" w:eastAsia="Times New Roman" w:hAnsiTheme="minorHAnsi" w:cstheme="minorHAnsi"/>
          <w:i/>
          <w:color w:val="000000" w:themeColor="text1"/>
          <w:szCs w:val="24"/>
        </w:rPr>
        <w:t>L’Esprit</w:t>
      </w:r>
      <w:proofErr w:type="spellEnd"/>
      <w:r w:rsidRPr="00EB6B96">
        <w:rPr>
          <w:rFonts w:asciiTheme="minorHAnsi" w:eastAsia="Times New Roman" w:hAnsiTheme="minorHAnsi" w:cstheme="minorHAnsi"/>
          <w:i/>
          <w:color w:val="000000" w:themeColor="text1"/>
          <w:szCs w:val="24"/>
        </w:rPr>
        <w:t>-Nouveau</w:t>
      </w:r>
      <w:r w:rsidRPr="00EB6B96">
        <w:rPr>
          <w:rFonts w:asciiTheme="minorHAnsi" w:eastAsia="Times New Roman" w:hAnsiTheme="minorHAnsi" w:cstheme="minorHAnsi"/>
          <w:color w:val="000000" w:themeColor="text1"/>
          <w:szCs w:val="24"/>
        </w:rPr>
        <w:t xml:space="preserve"> pavilion to the </w:t>
      </w:r>
      <w:r w:rsidRPr="00EB6B96">
        <w:rPr>
          <w:rFonts w:asciiTheme="minorHAnsi" w:eastAsia="Times New Roman" w:hAnsiTheme="minorHAnsi" w:cstheme="minorHAnsi"/>
          <w:i/>
          <w:color w:val="000000" w:themeColor="text1"/>
          <w:szCs w:val="24"/>
        </w:rPr>
        <w:t>brise-soleil</w:t>
      </w:r>
      <w:r w:rsidRPr="00EB6B96">
        <w:rPr>
          <w:rFonts w:asciiTheme="minorHAnsi" w:eastAsia="Times New Roman" w:hAnsiTheme="minorHAnsi" w:cstheme="minorHAnsi"/>
          <w:color w:val="000000" w:themeColor="text1"/>
          <w:szCs w:val="24"/>
        </w:rPr>
        <w:t xml:space="preserve"> balconies and the use of the community roof of </w:t>
      </w:r>
      <w:proofErr w:type="spellStart"/>
      <w:r w:rsidRPr="00EB6B96">
        <w:rPr>
          <w:rFonts w:asciiTheme="minorHAnsi" w:eastAsia="Times New Roman" w:hAnsiTheme="minorHAnsi" w:cstheme="minorHAnsi"/>
          <w:i/>
          <w:color w:val="000000" w:themeColor="text1"/>
          <w:szCs w:val="24"/>
        </w:rPr>
        <w:t>L'Unité</w:t>
      </w:r>
      <w:proofErr w:type="spellEnd"/>
      <w:r w:rsidRPr="00EB6B96">
        <w:rPr>
          <w:rFonts w:asciiTheme="minorHAnsi" w:eastAsia="Times New Roman" w:hAnsiTheme="minorHAnsi" w:cstheme="minorHAnsi"/>
          <w:i/>
          <w:color w:val="000000" w:themeColor="text1"/>
          <w:szCs w:val="24"/>
        </w:rPr>
        <w:t xml:space="preserve"> </w:t>
      </w:r>
      <w:proofErr w:type="spellStart"/>
      <w:r w:rsidRPr="00EB6B96">
        <w:rPr>
          <w:rFonts w:asciiTheme="minorHAnsi" w:eastAsia="Times New Roman" w:hAnsiTheme="minorHAnsi" w:cstheme="minorHAnsi"/>
          <w:i/>
          <w:color w:val="000000" w:themeColor="text1"/>
          <w:szCs w:val="24"/>
        </w:rPr>
        <w:t>d'Habitation</w:t>
      </w:r>
      <w:proofErr w:type="spellEnd"/>
      <w:r w:rsidRPr="00EB6B96">
        <w:rPr>
          <w:rFonts w:asciiTheme="minorHAnsi" w:eastAsia="Times New Roman" w:hAnsiTheme="minorHAnsi" w:cstheme="minorHAnsi"/>
          <w:color w:val="000000" w:themeColor="text1"/>
          <w:szCs w:val="24"/>
        </w:rPr>
        <w:t xml:space="preserve">. </w:t>
      </w:r>
    </w:p>
    <w:p w14:paraId="4AA6917F" w14:textId="77777777" w:rsidR="001F634F" w:rsidRPr="00EB6B96" w:rsidRDefault="001F634F" w:rsidP="006B6923">
      <w:pPr>
        <w:tabs>
          <w:tab w:val="left" w:pos="10080"/>
        </w:tabs>
        <w:ind w:right="-333"/>
        <w:rPr>
          <w:rFonts w:asciiTheme="minorHAnsi" w:eastAsia="Times New Roman" w:hAnsiTheme="minorHAnsi" w:cstheme="minorHAnsi"/>
          <w:color w:val="000000" w:themeColor="text1"/>
          <w:szCs w:val="24"/>
        </w:rPr>
      </w:pPr>
      <w:r w:rsidRPr="00EB6B96">
        <w:rPr>
          <w:rFonts w:asciiTheme="minorHAnsi" w:eastAsia="Times New Roman" w:hAnsiTheme="minorHAnsi" w:cstheme="minorHAnsi"/>
          <w:color w:val="000000" w:themeColor="text1"/>
          <w:szCs w:val="24"/>
        </w:rPr>
        <w:t xml:space="preserve">Yet after World War II, medical advances in the development of vaccines - e.g. cholera (1884) or tuberculosis (1927) - began to mean that they're being healthy spaces began to lose importance. The speculative pressure of housing prices in the city or the development of environmental comfort technology thanks to air conditioning and mechanical ventilation reduced the size of the terraces and turned them into balconies. On the other hand, the terrace grew in importance in mass tourism architecture </w:t>
      </w:r>
      <w:r w:rsidRPr="00EB6B96">
        <w:rPr>
          <w:rFonts w:asciiTheme="minorHAnsi" w:eastAsia="Times New Roman" w:hAnsiTheme="minorHAnsi" w:cstheme="minorHAnsi"/>
          <w:color w:val="000000" w:themeColor="text1"/>
          <w:szCs w:val="24"/>
        </w:rPr>
        <w:fldChar w:fldCharType="begin" w:fldLock="1"/>
      </w:r>
      <w:r w:rsidRPr="00EB6B96">
        <w:rPr>
          <w:rFonts w:asciiTheme="minorHAnsi" w:eastAsia="Times New Roman" w:hAnsiTheme="minorHAnsi" w:cstheme="minorHAnsi"/>
          <w:color w:val="000000" w:themeColor="text1"/>
          <w:szCs w:val="24"/>
        </w:rPr>
        <w:instrText>ADDIN CSL_CITATION {"citationItems":[{"id":"ITEM-1","itemData":{"ISBN":"84-206-8136-9","author":[{"dropping-particle":"","family":"Fernández Fuster","given":"Luis","non-dropping-particle":"","parse-names":false,"suffix":""}],"id":"ITEM-1","issued":{"date-parts":[["1991"]]},"publisher":"Alianza Editorial","publisher-place":"Madrid","title":"Historia general del turismo de masas [General history of mass tourism]","type":"book"},"uris":["http://www.mendeley.com/documents/?uuid=10ab2033-dda9-4efb-94cb-bd70080527c4"]}],"mendeley":{"formattedCitation":"(Fernández Fuster, 1991)","manualFormatting":"(Fernández Fuster, 1991:255)","plainTextFormattedCitation":"(Fernández Fuster, 1991)","previouslyFormattedCitation":"(Fernández Fuster, 1991)"},"properties":{"noteIndex":0},"schema":"https://github.com/citation-style-language/schema/raw/master/csl-citation.json"}</w:instrText>
      </w:r>
      <w:r w:rsidRPr="00EB6B96">
        <w:rPr>
          <w:rFonts w:asciiTheme="minorHAnsi" w:eastAsia="Times New Roman" w:hAnsiTheme="minorHAnsi" w:cstheme="minorHAnsi"/>
          <w:color w:val="000000" w:themeColor="text1"/>
          <w:szCs w:val="24"/>
        </w:rPr>
        <w:fldChar w:fldCharType="separate"/>
      </w:r>
      <w:r w:rsidRPr="00EB6B96">
        <w:rPr>
          <w:rFonts w:asciiTheme="minorHAnsi" w:eastAsia="Times New Roman" w:hAnsiTheme="minorHAnsi" w:cstheme="minorHAnsi"/>
          <w:noProof/>
          <w:color w:val="000000" w:themeColor="text1"/>
          <w:szCs w:val="24"/>
        </w:rPr>
        <w:t>(</w:t>
      </w:r>
      <w:hyperlink w:anchor="eight" w:history="1">
        <w:r w:rsidRPr="00EB6B96">
          <w:rPr>
            <w:rStyle w:val="Hyperlink"/>
            <w:rFonts w:asciiTheme="minorHAnsi" w:eastAsia="Times New Roman" w:hAnsiTheme="minorHAnsi" w:cstheme="minorHAnsi"/>
            <w:noProof/>
            <w:color w:val="000000" w:themeColor="text1"/>
            <w:szCs w:val="24"/>
            <w:u w:val="none"/>
          </w:rPr>
          <w:t>Fernández Fuster, 1991:255</w:t>
        </w:r>
      </w:hyperlink>
      <w:r w:rsidRPr="00EB6B96">
        <w:rPr>
          <w:rFonts w:asciiTheme="minorHAnsi" w:eastAsia="Times New Roman" w:hAnsiTheme="minorHAnsi" w:cstheme="minorHAnsi"/>
          <w:noProof/>
          <w:color w:val="000000" w:themeColor="text1"/>
          <w:szCs w:val="24"/>
        </w:rPr>
        <w:t>)</w:t>
      </w:r>
      <w:r w:rsidRPr="00EB6B96">
        <w:rPr>
          <w:rFonts w:asciiTheme="minorHAnsi" w:eastAsia="Times New Roman" w:hAnsiTheme="minorHAnsi" w:cstheme="minorHAnsi"/>
          <w:color w:val="000000" w:themeColor="text1"/>
          <w:szCs w:val="24"/>
        </w:rPr>
        <w:fldChar w:fldCharType="end"/>
      </w:r>
      <w:r w:rsidRPr="00EB6B96">
        <w:rPr>
          <w:rFonts w:asciiTheme="minorHAnsi" w:eastAsia="Times New Roman" w:hAnsiTheme="minorHAnsi" w:cstheme="minorHAnsi"/>
          <w:color w:val="000000" w:themeColor="text1"/>
          <w:szCs w:val="24"/>
        </w:rPr>
        <w:t>: dimensionally (accounting for a third of the total surface area of tourist apartments), spatially (transition space between the outdoors and indoors) and symbolically (enjoying leisure as a social achievement). A paradigmatic example is, certainly, the pyramid terraced blocks of La Grande Motte (Languedoc-</w:t>
      </w:r>
      <w:proofErr w:type="spellStart"/>
      <w:r w:rsidRPr="00EB6B96">
        <w:rPr>
          <w:rFonts w:asciiTheme="minorHAnsi" w:eastAsia="Times New Roman" w:hAnsiTheme="minorHAnsi" w:cstheme="minorHAnsi"/>
          <w:color w:val="000000" w:themeColor="text1"/>
          <w:szCs w:val="24"/>
        </w:rPr>
        <w:t>Rousillon</w:t>
      </w:r>
      <w:proofErr w:type="spellEnd"/>
      <w:r w:rsidRPr="00EB6B96">
        <w:rPr>
          <w:rFonts w:asciiTheme="minorHAnsi" w:eastAsia="Times New Roman" w:hAnsiTheme="minorHAnsi" w:cstheme="minorHAnsi"/>
          <w:color w:val="000000" w:themeColor="text1"/>
          <w:szCs w:val="24"/>
        </w:rPr>
        <w:t>, France) designed by Jean Balladur.</w:t>
      </w:r>
    </w:p>
    <w:p w14:paraId="0E76B125" w14:textId="77777777" w:rsidR="001F634F" w:rsidRPr="00EB6B96" w:rsidRDefault="001F634F" w:rsidP="006B6923">
      <w:pPr>
        <w:tabs>
          <w:tab w:val="left" w:pos="10080"/>
        </w:tabs>
        <w:ind w:right="-333"/>
        <w:jc w:val="center"/>
        <w:rPr>
          <w:rFonts w:asciiTheme="minorHAnsi" w:hAnsiTheme="minorHAnsi" w:cstheme="minorHAnsi"/>
        </w:rPr>
      </w:pPr>
    </w:p>
    <w:p w14:paraId="3AF3F85B" w14:textId="7C100AAE" w:rsidR="00F5485D" w:rsidRPr="00EB6B96" w:rsidRDefault="00F5485D" w:rsidP="006B6923">
      <w:pPr>
        <w:tabs>
          <w:tab w:val="left" w:pos="10080"/>
        </w:tabs>
        <w:ind w:right="-333"/>
        <w:jc w:val="center"/>
        <w:rPr>
          <w:rFonts w:asciiTheme="minorHAnsi" w:hAnsiTheme="minorHAnsi" w:cstheme="minorHAnsi"/>
        </w:rPr>
        <w:sectPr w:rsidR="00F5485D" w:rsidRPr="00EB6B96" w:rsidSect="00EC554B">
          <w:type w:val="continuous"/>
          <w:pgSz w:w="11907" w:h="16839"/>
          <w:pgMar w:top="1008" w:right="1008" w:bottom="720" w:left="1008" w:header="432" w:footer="432" w:gutter="0"/>
          <w:cols w:space="720" w:equalWidth="0">
            <w:col w:w="9171"/>
          </w:cols>
          <w:docGrid w:linePitch="272"/>
        </w:sectPr>
      </w:pPr>
    </w:p>
    <w:p w14:paraId="0AE9A513" w14:textId="77777777" w:rsidR="00EA189D" w:rsidRPr="00EB6B96" w:rsidRDefault="00EA189D" w:rsidP="006B6923">
      <w:pPr>
        <w:pStyle w:val="Heading2"/>
        <w:tabs>
          <w:tab w:val="left" w:pos="10080"/>
        </w:tabs>
        <w:spacing w:before="0"/>
        <w:ind w:right="-333"/>
        <w:rPr>
          <w:rFonts w:asciiTheme="minorHAnsi" w:hAnsiTheme="minorHAnsi" w:cstheme="minorHAnsi"/>
        </w:rPr>
      </w:pPr>
      <w:r w:rsidRPr="00EB6B96">
        <w:rPr>
          <w:rFonts w:asciiTheme="minorHAnsi" w:hAnsiTheme="minorHAnsi" w:cstheme="minorHAnsi"/>
        </w:rPr>
        <w:t>3. Material and Methods</w:t>
      </w:r>
    </w:p>
    <w:p w14:paraId="406E7EBA" w14:textId="77777777" w:rsidR="00EA189D" w:rsidRPr="007D15DB" w:rsidRDefault="00EA189D" w:rsidP="006B6923">
      <w:p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The Material and Methods section of a scientific article is where the authors describe the experimental design, procedures, and methodology used in their research. This section should provide enough detail so that other researchers can replicate the study if they wish. Here are some key considerations for writing the Material and Methods section:</w:t>
      </w:r>
    </w:p>
    <w:p w14:paraId="6A008194" w14:textId="77777777" w:rsidR="00EA189D" w:rsidRPr="007D15DB" w:rsidRDefault="00EA189D" w:rsidP="006B6923">
      <w:pPr>
        <w:numPr>
          <w:ilvl w:val="0"/>
          <w:numId w:val="6"/>
        </w:num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Experimental design: Describe the overall design of the study, including the research question or hypothesis, the experimental groups, and the variables being measured.</w:t>
      </w:r>
    </w:p>
    <w:p w14:paraId="30780D11" w14:textId="77777777" w:rsidR="00EA189D" w:rsidRPr="007D15DB" w:rsidRDefault="00EA189D" w:rsidP="006B6923">
      <w:pPr>
        <w:numPr>
          <w:ilvl w:val="0"/>
          <w:numId w:val="6"/>
        </w:num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Participants or subjects: Describe the sample or population being studied, including the number of participants, any inclusion or exclusion criteria, and demographic information such as age, sex, and ethnicity.</w:t>
      </w:r>
    </w:p>
    <w:p w14:paraId="089A1A26" w14:textId="77777777" w:rsidR="00EA189D" w:rsidRPr="007D15DB" w:rsidRDefault="00EA189D" w:rsidP="006B6923">
      <w:pPr>
        <w:numPr>
          <w:ilvl w:val="0"/>
          <w:numId w:val="6"/>
        </w:num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Data collection methods: Describe the procedures used to collect the data, including any instruments, equipment, or materials used. This could include surveys, interviews, questionnaires, physiological measurements, or other types of data.</w:t>
      </w:r>
    </w:p>
    <w:p w14:paraId="1AE9D689" w14:textId="77777777" w:rsidR="00EA189D" w:rsidRPr="007D15DB" w:rsidRDefault="00EA189D" w:rsidP="006B6923">
      <w:pPr>
        <w:numPr>
          <w:ilvl w:val="0"/>
          <w:numId w:val="6"/>
        </w:num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Data analysis: Describe the statistical methods used to analyze the data, including any software or programs used. This should include a description of the statistical tests used, the level of significance used, and any post-hoc analyses conducted.</w:t>
      </w:r>
    </w:p>
    <w:p w14:paraId="17D7F820" w14:textId="77777777" w:rsidR="00EA189D" w:rsidRPr="007D15DB" w:rsidRDefault="00EA189D" w:rsidP="006B6923">
      <w:pPr>
        <w:numPr>
          <w:ilvl w:val="0"/>
          <w:numId w:val="6"/>
        </w:num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Ethical considerations: Describe any ethical considerations that were addressed in the study, such as informed consent, confidentiality, or Institutional Review Board (IRB) approval.</w:t>
      </w:r>
    </w:p>
    <w:p w14:paraId="5356997F" w14:textId="77777777" w:rsidR="00EA189D" w:rsidRPr="007D15DB" w:rsidRDefault="00EA189D" w:rsidP="006B6923">
      <w:pPr>
        <w:numPr>
          <w:ilvl w:val="0"/>
          <w:numId w:val="6"/>
        </w:num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Limitations: Describe any limitations or potential sources of bias in the study, such as sample size, attrition, or confounding variables.</w:t>
      </w:r>
    </w:p>
    <w:p w14:paraId="3C4B8DFB" w14:textId="77777777" w:rsidR="00EA189D" w:rsidRPr="007D15DB" w:rsidRDefault="00EA189D" w:rsidP="006B6923">
      <w:pPr>
        <w:tabs>
          <w:tab w:val="left" w:pos="10080"/>
        </w:tabs>
        <w:ind w:right="-333"/>
        <w:rPr>
          <w:rFonts w:asciiTheme="minorHAnsi" w:eastAsia="Times New Roman" w:hAnsiTheme="minorHAnsi" w:cstheme="minorHAnsi"/>
          <w:szCs w:val="24"/>
          <w:lang w:val="en-US"/>
        </w:rPr>
      </w:pPr>
      <w:r w:rsidRPr="007D15DB">
        <w:rPr>
          <w:rFonts w:asciiTheme="minorHAnsi" w:eastAsia="Times New Roman" w:hAnsiTheme="minorHAnsi" w:cstheme="minorHAnsi"/>
          <w:szCs w:val="24"/>
          <w:lang w:val="en-US"/>
        </w:rPr>
        <w:t>It is important to remember that the Material and Methods section should be written in a clear and concise manner, using appropriate terminology and avoiding unnecessary detail. The section should be organized in a logical manner that follows the flow of the study, with subsections as needed to break up the content. Finally, the section should be written in a way that allows other researchers to replicate the study, including providing details such as specific measurement instruments or software programs used.</w:t>
      </w:r>
    </w:p>
    <w:p w14:paraId="39929ECA"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Provide sufficient detail to allow the work to be reproduced. Methods already published should be indicated by a reference: only relevant modifications should be described. A mixed-method, based on quantitative (objective indicators) and qualitative (subjective indicators) approaches, was used to analyse stay-at-home lockdown during COVID-19. The objective indicators include:</w:t>
      </w:r>
    </w:p>
    <w:p w14:paraId="48E28599"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(a) Planimetric survey and calculation of the closed/open surface area:</w:t>
      </w:r>
    </w:p>
    <w:p w14:paraId="352C0CBC"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Detailed drawing of the furnishing</w:t>
      </w:r>
    </w:p>
    <w:p w14:paraId="75F14D14"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Detailed drawing of the possible routes in the house (mobility)</w:t>
      </w:r>
    </w:p>
    <w:p w14:paraId="4526EEBA"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(b) Urban data:</w:t>
      </w:r>
    </w:p>
    <w:p w14:paraId="01A13628"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Urban location: type of neighbourhood, the height of the housing</w:t>
      </w:r>
    </w:p>
    <w:p w14:paraId="20A7552E"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Orientation of the main façade</w:t>
      </w:r>
    </w:p>
    <w:p w14:paraId="4E7B857A"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Views and connection to the public space</w:t>
      </w:r>
    </w:p>
    <w:p w14:paraId="73BC6E66"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xml:space="preserve">The subjective indicators include an online questionnaire that was completed after the stay-at-home lockdown period. It was sent to the occupants who had been previously informed that the study would be conducted. They were asked to assess the positive and negative characteristics of their homes (layout and fittings), the activities they did at home </w:t>
      </w:r>
      <w:r w:rsidRPr="00EB6B96">
        <w:rPr>
          <w:rFonts w:asciiTheme="minorHAnsi" w:eastAsia="Times New Roman" w:hAnsiTheme="minorHAnsi" w:cstheme="minorHAnsi"/>
          <w:szCs w:val="24"/>
        </w:rPr>
        <w:lastRenderedPageBreak/>
        <w:t>and the changes they would make to them. The profile of the users was very similar: The majority were young couples without children, although a family with an older child was also included, but never with small children.</w:t>
      </w:r>
    </w:p>
    <w:p w14:paraId="1EE435BE"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xml:space="preserve">The four case studies (Figure 1) are flats in multi-family residential blocks along the Mediterranean coast of southern Spain. Three of them in Malaga - as an example of a non-tourist urban environment case study -, and one in Velez-Malaga, as a case study in a tourist environment. In </w:t>
      </w:r>
      <w:r w:rsidRPr="00EB6B96">
        <w:rPr>
          <w:rFonts w:asciiTheme="minorHAnsi" w:eastAsia="Times New Roman" w:hAnsiTheme="minorHAnsi" w:cstheme="minorHAnsi"/>
          <w:noProof/>
          <w:szCs w:val="24"/>
        </w:rPr>
        <mc:AlternateContent>
          <mc:Choice Requires="wpi">
            <w:drawing>
              <wp:anchor distT="0" distB="0" distL="114300" distR="114300" simplePos="0" relativeHeight="251659264" behindDoc="0" locked="0" layoutInCell="1" allowOverlap="1" wp14:anchorId="17F98B61" wp14:editId="5B64D124">
                <wp:simplePos x="0" y="0"/>
                <wp:positionH relativeFrom="column">
                  <wp:posOffset>-480853</wp:posOffset>
                </wp:positionH>
                <wp:positionV relativeFrom="paragraph">
                  <wp:posOffset>556323</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387FA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38.55pt;margin-top:43.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">
                <v:imagedata r:id="rId16" o:title=""/>
              </v:shape>
            </w:pict>
          </mc:Fallback>
        </mc:AlternateContent>
      </w:r>
      <w:r w:rsidRPr="00EB6B96">
        <w:rPr>
          <w:rFonts w:asciiTheme="minorHAnsi" w:eastAsia="Times New Roman" w:hAnsiTheme="minorHAnsi" w:cstheme="minorHAnsi"/>
          <w:szCs w:val="24"/>
        </w:rPr>
        <w:t>Malaga, the first urban fringe (Case A), the urban edge (Case B) and the old town (Case C) were chosen. While a tourist neighbourhood (Case D) was selected in Velez-Malaga.</w:t>
      </w:r>
    </w:p>
    <w:p w14:paraId="33EE8913" w14:textId="77777777" w:rsidR="00EA189D" w:rsidRPr="00EB6B96" w:rsidRDefault="00EA189D" w:rsidP="006B6923">
      <w:pPr>
        <w:tabs>
          <w:tab w:val="left" w:pos="10080"/>
        </w:tabs>
        <w:ind w:right="-333"/>
        <w:rPr>
          <w:rFonts w:asciiTheme="minorHAnsi" w:eastAsia="Times New Roman" w:hAnsiTheme="minorHAnsi" w:cstheme="minorHAnsi"/>
          <w:szCs w:val="24"/>
        </w:rPr>
      </w:pPr>
    </w:p>
    <w:p w14:paraId="5A983E23"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b/>
          <w:szCs w:val="24"/>
        </w:rPr>
        <w:t>4. Results</w:t>
      </w:r>
    </w:p>
    <w:p w14:paraId="1D94A9B8" w14:textId="77777777" w:rsidR="00EA189D" w:rsidRPr="00EB6B96" w:rsidRDefault="00EA189D" w:rsidP="006B6923">
      <w:p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The Results section of a scientific article presents the findings of the study in a clear and concise manner. This section should provide a detailed description of the data collected, along with statistical analyses and graphical representations where appropriate. Here are some key considerations for writing the Results section:</w:t>
      </w:r>
    </w:p>
    <w:p w14:paraId="6B3FCBFC" w14:textId="77777777" w:rsidR="00EA189D" w:rsidRPr="00EB6B96" w:rsidRDefault="00EA189D" w:rsidP="006B6923">
      <w:pPr>
        <w:numPr>
          <w:ilvl w:val="0"/>
          <w:numId w:val="7"/>
        </w:num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Organization: Organize the results section in a logical manner that follows the research question or hypothesis. This may involve presenting results in order of importance or grouping similar findings together.</w:t>
      </w:r>
    </w:p>
    <w:p w14:paraId="09818214" w14:textId="77777777" w:rsidR="00EA189D" w:rsidRPr="00EB6B96" w:rsidRDefault="00EA189D" w:rsidP="006B6923">
      <w:pPr>
        <w:numPr>
          <w:ilvl w:val="0"/>
          <w:numId w:val="7"/>
        </w:num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Descriptive statistics: Use descriptive statistics such as means, standard deviations, and percentages to summarize the data.</w:t>
      </w:r>
    </w:p>
    <w:p w14:paraId="4867F2BC" w14:textId="77777777" w:rsidR="00EA189D" w:rsidRPr="00EB6B96" w:rsidRDefault="00EA189D" w:rsidP="006B6923">
      <w:pPr>
        <w:numPr>
          <w:ilvl w:val="0"/>
          <w:numId w:val="7"/>
        </w:num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Inferential statistics: Use inferential statistics such as t-tests, ANOVA, or regression analyses to test hypotheses or explore relationships between variables.</w:t>
      </w:r>
    </w:p>
    <w:p w14:paraId="56D7FC59" w14:textId="77777777" w:rsidR="00EA189D" w:rsidRPr="00EB6B96" w:rsidRDefault="00EA189D" w:rsidP="006B6923">
      <w:pPr>
        <w:numPr>
          <w:ilvl w:val="0"/>
          <w:numId w:val="7"/>
        </w:num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Figures and tables: Use figures and tables to present data visually and provide a summary of the key findings. Ensure that figures and tables are appropriately labeled and easy to read.</w:t>
      </w:r>
    </w:p>
    <w:p w14:paraId="36F8CB4F" w14:textId="77777777" w:rsidR="00EA189D" w:rsidRPr="00EB6B96" w:rsidRDefault="00EA189D" w:rsidP="006B6923">
      <w:pPr>
        <w:numPr>
          <w:ilvl w:val="0"/>
          <w:numId w:val="7"/>
        </w:num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Textual summaries: Use textual summaries to provide a more detailed description of the findings. This could involve describing patterns, relationships, or significant differences between groups.</w:t>
      </w:r>
    </w:p>
    <w:p w14:paraId="019C5B89" w14:textId="77777777" w:rsidR="00EA189D" w:rsidRPr="00EB6B96" w:rsidRDefault="00EA189D" w:rsidP="006B6923">
      <w:pPr>
        <w:numPr>
          <w:ilvl w:val="0"/>
          <w:numId w:val="7"/>
        </w:num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Limitations: Acknowledge any limitations or potential sources of bias in the study. This could include issues such as sample size, missing data, or confounding variables.</w:t>
      </w:r>
    </w:p>
    <w:p w14:paraId="66705555" w14:textId="77777777" w:rsidR="00EA189D" w:rsidRPr="00EB6B96" w:rsidRDefault="00EA189D" w:rsidP="006B6923">
      <w:pPr>
        <w:tabs>
          <w:tab w:val="left" w:pos="10080"/>
        </w:tabs>
        <w:ind w:right="-333"/>
        <w:rPr>
          <w:rFonts w:asciiTheme="minorHAnsi" w:eastAsia="Times New Roman" w:hAnsiTheme="minorHAnsi" w:cstheme="minorHAnsi"/>
          <w:szCs w:val="24"/>
          <w:lang w:val="en-US"/>
        </w:rPr>
      </w:pPr>
      <w:r w:rsidRPr="00EB6B96">
        <w:rPr>
          <w:rFonts w:asciiTheme="minorHAnsi" w:eastAsia="Times New Roman" w:hAnsiTheme="minorHAnsi" w:cstheme="minorHAnsi"/>
          <w:szCs w:val="24"/>
          <w:lang w:val="en-US"/>
        </w:rPr>
        <w:t>It is important to remember that the Results section should be written in a clear and concise manner, using appropriate terminology and avoiding unnecessary detail. Results should be presented objectively, without interpretation or discussion of their implications. Finally, the section should be organized in a way that allows the reader to easily understand the data and their significance in relation to the research question or hypothesis.</w:t>
      </w:r>
    </w:p>
    <w:p w14:paraId="7E86916A" w14:textId="77777777" w:rsidR="00EA189D"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As regards WFM, in housing units of under 60 m</w:t>
      </w:r>
      <w:r w:rsidRPr="00EB6B96">
        <w:rPr>
          <w:rFonts w:asciiTheme="minorHAnsi" w:eastAsia="Times New Roman" w:hAnsiTheme="minorHAnsi" w:cstheme="minorHAnsi"/>
          <w:szCs w:val="24"/>
          <w:vertAlign w:val="superscript"/>
        </w:rPr>
        <w:t>2</w:t>
      </w:r>
      <w:r w:rsidRPr="00EB6B96">
        <w:rPr>
          <w:rFonts w:asciiTheme="minorHAnsi" w:eastAsia="Times New Roman" w:hAnsiTheme="minorHAnsi" w:cstheme="minorHAnsi"/>
          <w:szCs w:val="24"/>
        </w:rPr>
        <w:t xml:space="preserve"> with maximum resident occupancy, they were forced to use the living room as a pop-up office (</w:t>
      </w:r>
      <w:hyperlink w:anchor="table1" w:history="1">
        <w:r w:rsidRPr="00EB6B96">
          <w:rPr>
            <w:rStyle w:val="Hyperlink"/>
            <w:rFonts w:asciiTheme="minorHAnsi" w:eastAsia="Times New Roman" w:hAnsiTheme="minorHAnsi" w:cstheme="minorHAnsi"/>
            <w:szCs w:val="24"/>
            <w:u w:val="none"/>
          </w:rPr>
          <w:t>Table 1</w:t>
        </w:r>
      </w:hyperlink>
      <w:r w:rsidRPr="00EB6B96">
        <w:rPr>
          <w:rFonts w:asciiTheme="minorHAnsi" w:eastAsia="Times New Roman" w:hAnsiTheme="minorHAnsi" w:cstheme="minorHAnsi"/>
          <w:szCs w:val="24"/>
        </w:rPr>
        <w:t>). However, in homes over 60 m</w:t>
      </w:r>
      <w:r w:rsidRPr="00EB6B96">
        <w:rPr>
          <w:rFonts w:asciiTheme="minorHAnsi" w:eastAsia="Times New Roman" w:hAnsiTheme="minorHAnsi" w:cstheme="minorHAnsi"/>
          <w:szCs w:val="24"/>
          <w:vertAlign w:val="superscript"/>
        </w:rPr>
        <w:t>2</w:t>
      </w:r>
      <w:r w:rsidRPr="00EB6B96">
        <w:rPr>
          <w:rFonts w:asciiTheme="minorHAnsi" w:eastAsia="Times New Roman" w:hAnsiTheme="minorHAnsi" w:cstheme="minorHAnsi"/>
          <w:szCs w:val="24"/>
        </w:rPr>
        <w:t>, or where there were the same or higher number of residents, the bedrooms were used as pop-up offices, in the same way as before the pandemic. In the case of housing units with only 1 bedroom for 2 users who worked, the living-dining room had to be shared, which limited its use for video conferences, leisure activities (watching television) or meals. It can be concluded that small flats are more appropriate for remote workers who live alone, or where only one of them is working from home. The same situation occurs in the case of the 2-bed housing, which is more appropriate for 2 residents. As regards exercise, the lack of an appropriately sized terrace (A, B, C) meant the dining room or a bedroom had to be converted into a gymnasium. However, in Case of D, if they did have a large enough terrace, the users also used the dining room to exercise, as it was larger.</w:t>
      </w:r>
    </w:p>
    <w:p w14:paraId="0B859EA0" w14:textId="77777777" w:rsidR="00EA189D" w:rsidRPr="00EB6B96" w:rsidRDefault="00EA189D" w:rsidP="006B6923">
      <w:pPr>
        <w:tabs>
          <w:tab w:val="left" w:pos="10080"/>
        </w:tabs>
        <w:ind w:right="-333"/>
        <w:rPr>
          <w:rFonts w:asciiTheme="minorHAnsi" w:eastAsia="Times New Roman" w:hAnsiTheme="minorHAnsi" w:cstheme="minorHAnsi"/>
          <w:szCs w:val="24"/>
        </w:rPr>
      </w:pPr>
    </w:p>
    <w:p w14:paraId="20231135" w14:textId="77777777" w:rsidR="00EA189D" w:rsidRPr="00EB6B96" w:rsidRDefault="00EA189D" w:rsidP="006B6923">
      <w:pPr>
        <w:tabs>
          <w:tab w:val="left" w:pos="10080"/>
        </w:tabs>
        <w:ind w:right="-333"/>
        <w:rPr>
          <w:rFonts w:asciiTheme="minorHAnsi" w:eastAsia="Times New Roman" w:hAnsiTheme="minorHAnsi" w:cstheme="minorHAnsi"/>
          <w:szCs w:val="24"/>
        </w:rPr>
      </w:pPr>
      <w:bookmarkStart w:id="5" w:name="table1"/>
      <w:r w:rsidRPr="00EB6B96">
        <w:rPr>
          <w:rFonts w:asciiTheme="minorHAnsi" w:eastAsia="Times New Roman" w:hAnsiTheme="minorHAnsi" w:cstheme="minorHAnsi"/>
          <w:b/>
          <w:szCs w:val="24"/>
        </w:rPr>
        <w:t>Table 1.</w:t>
      </w:r>
      <w:r w:rsidRPr="00EB6B96">
        <w:rPr>
          <w:rFonts w:asciiTheme="minorHAnsi" w:eastAsia="Times New Roman" w:hAnsiTheme="minorHAnsi" w:cstheme="minorHAnsi"/>
          <w:szCs w:val="24"/>
        </w:rPr>
        <w:t xml:space="preserve"> Objective indicators.</w:t>
      </w:r>
    </w:p>
    <w:tbl>
      <w:tblPr>
        <w:tblW w:w="9770" w:type="dxa"/>
        <w:tblBorders>
          <w:top w:val="single" w:sz="4" w:space="0" w:color="000000"/>
          <w:left w:val="nil"/>
          <w:bottom w:val="single" w:sz="4" w:space="0" w:color="000000"/>
          <w:right w:val="nil"/>
          <w:insideH w:val="single" w:sz="4" w:space="0" w:color="000000"/>
          <w:insideV w:val="single" w:sz="4" w:space="0" w:color="000000"/>
        </w:tblBorders>
        <w:tblLook w:val="0000" w:firstRow="0" w:lastRow="0" w:firstColumn="0" w:lastColumn="0" w:noHBand="0" w:noVBand="0"/>
      </w:tblPr>
      <w:tblGrid>
        <w:gridCol w:w="1922"/>
        <w:gridCol w:w="1968"/>
        <w:gridCol w:w="1866"/>
        <w:gridCol w:w="1998"/>
        <w:gridCol w:w="2016"/>
      </w:tblGrid>
      <w:tr w:rsidR="00EA189D" w:rsidRPr="00EB6B96" w14:paraId="56E35D8B" w14:textId="77777777" w:rsidTr="00942A8B">
        <w:trPr>
          <w:trHeight w:val="226"/>
        </w:trPr>
        <w:tc>
          <w:tcPr>
            <w:tcW w:w="0" w:type="auto"/>
            <w:vAlign w:val="center"/>
          </w:tcPr>
          <w:bookmarkEnd w:id="5"/>
          <w:p w14:paraId="7C57D0C1" w14:textId="77777777" w:rsidR="00EA189D" w:rsidRPr="00EB6B96" w:rsidRDefault="00EA189D" w:rsidP="006B6923">
            <w:pPr>
              <w:tabs>
                <w:tab w:val="left" w:pos="10080"/>
              </w:tabs>
              <w:ind w:right="-333"/>
              <w:rPr>
                <w:rFonts w:asciiTheme="minorHAnsi" w:hAnsiTheme="minorHAnsi" w:cstheme="minorHAnsi"/>
                <w:b/>
                <w:sz w:val="18"/>
                <w:szCs w:val="18"/>
              </w:rPr>
            </w:pPr>
            <w:r w:rsidRPr="00EB6B96">
              <w:rPr>
                <w:rFonts w:asciiTheme="minorHAnsi" w:hAnsiTheme="minorHAnsi" w:cstheme="minorHAnsi"/>
                <w:b/>
                <w:sz w:val="18"/>
                <w:szCs w:val="18"/>
              </w:rPr>
              <w:t>Study case</w:t>
            </w:r>
          </w:p>
        </w:tc>
        <w:tc>
          <w:tcPr>
            <w:tcW w:w="0" w:type="auto"/>
            <w:vAlign w:val="center"/>
          </w:tcPr>
          <w:p w14:paraId="4FF06649" w14:textId="77777777" w:rsidR="00EA189D" w:rsidRPr="00EB6B96" w:rsidRDefault="00EA189D" w:rsidP="006B6923">
            <w:pPr>
              <w:tabs>
                <w:tab w:val="left" w:pos="10080"/>
              </w:tabs>
              <w:ind w:right="-333"/>
              <w:jc w:val="center"/>
              <w:rPr>
                <w:rFonts w:asciiTheme="minorHAnsi" w:hAnsiTheme="minorHAnsi" w:cstheme="minorHAnsi"/>
                <w:b/>
                <w:sz w:val="18"/>
                <w:szCs w:val="18"/>
              </w:rPr>
            </w:pPr>
            <w:r w:rsidRPr="00EB6B96">
              <w:rPr>
                <w:rFonts w:asciiTheme="minorHAnsi" w:hAnsiTheme="minorHAnsi" w:cstheme="minorHAnsi"/>
                <w:b/>
                <w:sz w:val="18"/>
                <w:szCs w:val="18"/>
              </w:rPr>
              <w:t>A</w:t>
            </w:r>
          </w:p>
        </w:tc>
        <w:tc>
          <w:tcPr>
            <w:tcW w:w="0" w:type="auto"/>
            <w:vAlign w:val="center"/>
          </w:tcPr>
          <w:p w14:paraId="5490E732" w14:textId="77777777" w:rsidR="00EA189D" w:rsidRPr="00EB6B96" w:rsidRDefault="00EA189D" w:rsidP="006B6923">
            <w:pPr>
              <w:tabs>
                <w:tab w:val="left" w:pos="10080"/>
              </w:tabs>
              <w:ind w:right="-333"/>
              <w:jc w:val="center"/>
              <w:rPr>
                <w:rFonts w:asciiTheme="minorHAnsi" w:hAnsiTheme="minorHAnsi" w:cstheme="minorHAnsi"/>
                <w:b/>
                <w:sz w:val="18"/>
                <w:szCs w:val="18"/>
              </w:rPr>
            </w:pPr>
            <w:r w:rsidRPr="00EB6B96">
              <w:rPr>
                <w:rFonts w:asciiTheme="minorHAnsi" w:hAnsiTheme="minorHAnsi" w:cstheme="minorHAnsi"/>
                <w:b/>
                <w:sz w:val="18"/>
                <w:szCs w:val="18"/>
              </w:rPr>
              <w:t>C</w:t>
            </w:r>
          </w:p>
        </w:tc>
        <w:tc>
          <w:tcPr>
            <w:tcW w:w="0" w:type="auto"/>
            <w:vAlign w:val="center"/>
          </w:tcPr>
          <w:p w14:paraId="5602397C" w14:textId="77777777" w:rsidR="00EA189D" w:rsidRPr="00EB6B96" w:rsidRDefault="00EA189D" w:rsidP="006B6923">
            <w:pPr>
              <w:tabs>
                <w:tab w:val="left" w:pos="10080"/>
              </w:tabs>
              <w:ind w:right="-333"/>
              <w:jc w:val="center"/>
              <w:rPr>
                <w:rFonts w:asciiTheme="minorHAnsi" w:hAnsiTheme="minorHAnsi" w:cstheme="minorHAnsi"/>
                <w:b/>
                <w:sz w:val="18"/>
                <w:szCs w:val="18"/>
              </w:rPr>
            </w:pPr>
            <w:r w:rsidRPr="00EB6B96">
              <w:rPr>
                <w:rFonts w:asciiTheme="minorHAnsi" w:hAnsiTheme="minorHAnsi" w:cstheme="minorHAnsi"/>
                <w:b/>
                <w:sz w:val="18"/>
                <w:szCs w:val="18"/>
              </w:rPr>
              <w:t>D</w:t>
            </w:r>
          </w:p>
        </w:tc>
        <w:tc>
          <w:tcPr>
            <w:tcW w:w="0" w:type="auto"/>
            <w:vAlign w:val="center"/>
          </w:tcPr>
          <w:p w14:paraId="2E643F76" w14:textId="77777777" w:rsidR="00EA189D" w:rsidRPr="00EB6B96" w:rsidRDefault="00EA189D" w:rsidP="006B6923">
            <w:pPr>
              <w:tabs>
                <w:tab w:val="left" w:pos="10080"/>
              </w:tabs>
              <w:ind w:right="-333"/>
              <w:jc w:val="center"/>
              <w:rPr>
                <w:rFonts w:asciiTheme="minorHAnsi" w:hAnsiTheme="minorHAnsi" w:cstheme="minorHAnsi"/>
                <w:b/>
                <w:sz w:val="18"/>
                <w:szCs w:val="18"/>
              </w:rPr>
            </w:pPr>
            <w:r w:rsidRPr="00EB6B96">
              <w:rPr>
                <w:rFonts w:asciiTheme="minorHAnsi" w:hAnsiTheme="minorHAnsi" w:cstheme="minorHAnsi"/>
                <w:b/>
                <w:sz w:val="18"/>
                <w:szCs w:val="18"/>
              </w:rPr>
              <w:t>B</w:t>
            </w:r>
          </w:p>
        </w:tc>
      </w:tr>
      <w:tr w:rsidR="00EA189D" w:rsidRPr="00EB6B96" w14:paraId="308929C5" w14:textId="77777777" w:rsidTr="00942A8B">
        <w:trPr>
          <w:trHeight w:val="100"/>
        </w:trPr>
        <w:tc>
          <w:tcPr>
            <w:tcW w:w="0" w:type="auto"/>
            <w:vAlign w:val="center"/>
          </w:tcPr>
          <w:p w14:paraId="6B8888DE" w14:textId="77777777" w:rsidR="00EA189D" w:rsidRPr="00EB6B96" w:rsidRDefault="00EA189D" w:rsidP="006B6923">
            <w:pPr>
              <w:tabs>
                <w:tab w:val="left" w:pos="10080"/>
              </w:tabs>
              <w:ind w:right="-333"/>
              <w:rPr>
                <w:rFonts w:asciiTheme="minorHAnsi" w:hAnsiTheme="minorHAnsi" w:cstheme="minorHAnsi"/>
                <w:sz w:val="18"/>
                <w:szCs w:val="18"/>
              </w:rPr>
            </w:pPr>
          </w:p>
        </w:tc>
        <w:tc>
          <w:tcPr>
            <w:tcW w:w="0" w:type="auto"/>
            <w:vAlign w:val="center"/>
          </w:tcPr>
          <w:p w14:paraId="6FF791A6"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noProof/>
                <w:sz w:val="18"/>
                <w:szCs w:val="18"/>
              </w:rPr>
              <w:drawing>
                <wp:inline distT="0" distB="0" distL="0" distR="0" wp14:anchorId="45B8482A" wp14:editId="49B55749">
                  <wp:extent cx="1112616" cy="5715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2616" cy="571550"/>
                          </a:xfrm>
                          <a:prstGeom prst="rect">
                            <a:avLst/>
                          </a:prstGeom>
                        </pic:spPr>
                      </pic:pic>
                    </a:graphicData>
                  </a:graphic>
                </wp:inline>
              </w:drawing>
            </w:r>
          </w:p>
        </w:tc>
        <w:tc>
          <w:tcPr>
            <w:tcW w:w="0" w:type="auto"/>
            <w:vAlign w:val="center"/>
          </w:tcPr>
          <w:p w14:paraId="079B87D1" w14:textId="77777777" w:rsidR="00EA189D" w:rsidRPr="00EB6B96" w:rsidRDefault="00EA189D" w:rsidP="006B6923">
            <w:pPr>
              <w:tabs>
                <w:tab w:val="left" w:pos="10080"/>
              </w:tabs>
              <w:ind w:right="-333"/>
              <w:rPr>
                <w:rFonts w:asciiTheme="minorHAnsi" w:hAnsiTheme="minorHAnsi" w:cstheme="minorHAnsi"/>
                <w:noProof/>
                <w:sz w:val="18"/>
                <w:szCs w:val="18"/>
              </w:rPr>
            </w:pPr>
            <w:r w:rsidRPr="00EB6B96">
              <w:rPr>
                <w:rFonts w:asciiTheme="minorHAnsi" w:hAnsiTheme="minorHAnsi" w:cstheme="minorHAnsi"/>
                <w:noProof/>
                <w:sz w:val="18"/>
                <w:szCs w:val="18"/>
              </w:rPr>
              <w:drawing>
                <wp:inline distT="0" distB="0" distL="0" distR="0" wp14:anchorId="4CE2782A" wp14:editId="2728CBA2">
                  <wp:extent cx="1047841" cy="735394"/>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47841" cy="735394"/>
                          </a:xfrm>
                          <a:prstGeom prst="rect">
                            <a:avLst/>
                          </a:prstGeom>
                        </pic:spPr>
                      </pic:pic>
                    </a:graphicData>
                  </a:graphic>
                </wp:inline>
              </w:drawing>
            </w:r>
          </w:p>
        </w:tc>
        <w:tc>
          <w:tcPr>
            <w:tcW w:w="0" w:type="auto"/>
            <w:vAlign w:val="center"/>
          </w:tcPr>
          <w:p w14:paraId="74B60FCD" w14:textId="77777777" w:rsidR="00EA189D" w:rsidRPr="00EB6B96" w:rsidRDefault="00EA189D" w:rsidP="006B6923">
            <w:pPr>
              <w:tabs>
                <w:tab w:val="left" w:pos="10080"/>
              </w:tabs>
              <w:ind w:right="-333"/>
              <w:rPr>
                <w:rFonts w:asciiTheme="minorHAnsi" w:hAnsiTheme="minorHAnsi" w:cstheme="minorHAnsi"/>
                <w:noProof/>
                <w:sz w:val="18"/>
                <w:szCs w:val="18"/>
              </w:rPr>
            </w:pPr>
            <w:r w:rsidRPr="00EB6B96">
              <w:rPr>
                <w:rFonts w:asciiTheme="minorHAnsi" w:hAnsiTheme="minorHAnsi" w:cstheme="minorHAnsi"/>
                <w:noProof/>
                <w:sz w:val="18"/>
                <w:szCs w:val="18"/>
              </w:rPr>
              <w:drawing>
                <wp:inline distT="0" distB="0" distL="0" distR="0" wp14:anchorId="6318E0AA" wp14:editId="4C6FB94A">
                  <wp:extent cx="1131668" cy="773497"/>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31668" cy="773497"/>
                          </a:xfrm>
                          <a:prstGeom prst="rect">
                            <a:avLst/>
                          </a:prstGeom>
                        </pic:spPr>
                      </pic:pic>
                    </a:graphicData>
                  </a:graphic>
                </wp:inline>
              </w:drawing>
            </w:r>
          </w:p>
        </w:tc>
        <w:tc>
          <w:tcPr>
            <w:tcW w:w="0" w:type="auto"/>
            <w:vAlign w:val="center"/>
          </w:tcPr>
          <w:p w14:paraId="07891221"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noProof/>
                <w:sz w:val="18"/>
                <w:szCs w:val="18"/>
              </w:rPr>
              <w:drawing>
                <wp:inline distT="0" distB="0" distL="0" distR="0" wp14:anchorId="75243C6C" wp14:editId="0A2EF4B2">
                  <wp:extent cx="1135478" cy="784928"/>
                  <wp:effectExtent l="0" t="0" r="7620" b="0"/>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35478" cy="784928"/>
                          </a:xfrm>
                          <a:prstGeom prst="rect">
                            <a:avLst/>
                          </a:prstGeom>
                        </pic:spPr>
                      </pic:pic>
                    </a:graphicData>
                  </a:graphic>
                </wp:inline>
              </w:drawing>
            </w:r>
          </w:p>
        </w:tc>
      </w:tr>
      <w:tr w:rsidR="00EA189D" w:rsidRPr="00EB6B96" w14:paraId="77D3F06F" w14:textId="77777777" w:rsidTr="00942A8B">
        <w:trPr>
          <w:trHeight w:val="100"/>
        </w:trPr>
        <w:tc>
          <w:tcPr>
            <w:tcW w:w="0" w:type="auto"/>
            <w:vAlign w:val="center"/>
          </w:tcPr>
          <w:p w14:paraId="191443BC"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Neighbourhood</w:t>
            </w:r>
          </w:p>
          <w:p w14:paraId="39773C9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Height</w:t>
            </w:r>
          </w:p>
        </w:tc>
        <w:tc>
          <w:tcPr>
            <w:tcW w:w="0" w:type="auto"/>
            <w:vAlign w:val="center"/>
          </w:tcPr>
          <w:p w14:paraId="2E5D5184" w14:textId="77777777" w:rsidR="00EA189D" w:rsidRPr="00EB6B96" w:rsidRDefault="00EA189D" w:rsidP="006B6923">
            <w:pPr>
              <w:tabs>
                <w:tab w:val="left" w:pos="10080"/>
              </w:tabs>
              <w:ind w:right="-333"/>
              <w:jc w:val="left"/>
              <w:rPr>
                <w:rFonts w:asciiTheme="minorHAnsi" w:hAnsiTheme="minorHAnsi" w:cstheme="minorHAnsi"/>
                <w:sz w:val="18"/>
                <w:szCs w:val="18"/>
              </w:rPr>
            </w:pPr>
            <w:r w:rsidRPr="00EB6B96">
              <w:rPr>
                <w:rFonts w:asciiTheme="minorHAnsi" w:hAnsiTheme="minorHAnsi" w:cstheme="minorHAnsi"/>
                <w:sz w:val="18"/>
                <w:szCs w:val="18"/>
              </w:rPr>
              <w:t>Haza del Campillo</w:t>
            </w:r>
          </w:p>
          <w:p w14:paraId="4D0CFFCE" w14:textId="77777777" w:rsidR="00EA189D" w:rsidRPr="00EB6B96" w:rsidRDefault="00EA189D" w:rsidP="006B6923">
            <w:pPr>
              <w:tabs>
                <w:tab w:val="left" w:pos="10080"/>
              </w:tabs>
              <w:ind w:right="-333"/>
              <w:jc w:val="left"/>
              <w:rPr>
                <w:rFonts w:asciiTheme="minorHAnsi" w:hAnsiTheme="minorHAnsi" w:cstheme="minorHAnsi"/>
                <w:sz w:val="18"/>
                <w:szCs w:val="18"/>
              </w:rPr>
            </w:pPr>
            <w:r w:rsidRPr="00EB6B96">
              <w:rPr>
                <w:rFonts w:asciiTheme="minorHAnsi" w:hAnsiTheme="minorHAnsi" w:cstheme="minorHAnsi"/>
                <w:sz w:val="18"/>
                <w:szCs w:val="18"/>
              </w:rPr>
              <w:t>B+4</w:t>
            </w:r>
          </w:p>
        </w:tc>
        <w:tc>
          <w:tcPr>
            <w:tcW w:w="0" w:type="auto"/>
            <w:vAlign w:val="center"/>
          </w:tcPr>
          <w:p w14:paraId="06BE6D49"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Molinillo</w:t>
            </w:r>
          </w:p>
          <w:p w14:paraId="52734F21"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B+5</w:t>
            </w:r>
          </w:p>
        </w:tc>
        <w:tc>
          <w:tcPr>
            <w:tcW w:w="0" w:type="auto"/>
            <w:vAlign w:val="center"/>
          </w:tcPr>
          <w:p w14:paraId="2CAF750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Torre del Mar</w:t>
            </w:r>
          </w:p>
          <w:p w14:paraId="6228CDA1"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B+6</w:t>
            </w:r>
          </w:p>
        </w:tc>
        <w:tc>
          <w:tcPr>
            <w:tcW w:w="0" w:type="auto"/>
            <w:vAlign w:val="center"/>
          </w:tcPr>
          <w:p w14:paraId="526575A6"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Los Viveros</w:t>
            </w:r>
          </w:p>
          <w:p w14:paraId="195F4B2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B+2</w:t>
            </w:r>
          </w:p>
        </w:tc>
      </w:tr>
      <w:tr w:rsidR="00EA189D" w:rsidRPr="00EB6B96" w14:paraId="73C8AB22" w14:textId="77777777" w:rsidTr="00942A8B">
        <w:trPr>
          <w:trHeight w:val="100"/>
        </w:trPr>
        <w:tc>
          <w:tcPr>
            <w:tcW w:w="0" w:type="auto"/>
            <w:vAlign w:val="center"/>
          </w:tcPr>
          <w:p w14:paraId="18BBD287"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Orientation</w:t>
            </w:r>
          </w:p>
        </w:tc>
        <w:tc>
          <w:tcPr>
            <w:tcW w:w="0" w:type="auto"/>
            <w:vAlign w:val="center"/>
          </w:tcPr>
          <w:p w14:paraId="788856C9"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North</w:t>
            </w:r>
          </w:p>
        </w:tc>
        <w:tc>
          <w:tcPr>
            <w:tcW w:w="0" w:type="auto"/>
            <w:vAlign w:val="center"/>
          </w:tcPr>
          <w:p w14:paraId="217663B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North</w:t>
            </w:r>
          </w:p>
        </w:tc>
        <w:tc>
          <w:tcPr>
            <w:tcW w:w="0" w:type="auto"/>
            <w:vAlign w:val="center"/>
          </w:tcPr>
          <w:p w14:paraId="55DD3A47"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Northeast</w:t>
            </w:r>
          </w:p>
        </w:tc>
        <w:tc>
          <w:tcPr>
            <w:tcW w:w="0" w:type="auto"/>
            <w:vAlign w:val="center"/>
          </w:tcPr>
          <w:p w14:paraId="23118FDC"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East</w:t>
            </w:r>
          </w:p>
        </w:tc>
      </w:tr>
      <w:tr w:rsidR="00EA189D" w:rsidRPr="00EB6B96" w14:paraId="2A505212" w14:textId="77777777" w:rsidTr="00942A8B">
        <w:trPr>
          <w:trHeight w:val="100"/>
        </w:trPr>
        <w:tc>
          <w:tcPr>
            <w:tcW w:w="0" w:type="auto"/>
            <w:vAlign w:val="center"/>
          </w:tcPr>
          <w:p w14:paraId="745A2ABD"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S</w:t>
            </w:r>
            <w:r w:rsidRPr="00EB6B96">
              <w:rPr>
                <w:rFonts w:asciiTheme="minorHAnsi" w:hAnsiTheme="minorHAnsi" w:cstheme="minorHAnsi"/>
                <w:sz w:val="18"/>
                <w:szCs w:val="18"/>
                <w:vertAlign w:val="subscript"/>
              </w:rPr>
              <w:t>i</w:t>
            </w:r>
            <w:r w:rsidRPr="00EB6B96">
              <w:rPr>
                <w:rFonts w:asciiTheme="minorHAnsi" w:hAnsiTheme="minorHAnsi" w:cstheme="minorHAnsi"/>
                <w:sz w:val="18"/>
                <w:szCs w:val="18"/>
              </w:rPr>
              <w:t xml:space="preserve"> (m2) </w:t>
            </w:r>
          </w:p>
          <w:p w14:paraId="42268A5F"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Indoor surface area</w:t>
            </w:r>
          </w:p>
        </w:tc>
        <w:tc>
          <w:tcPr>
            <w:tcW w:w="0" w:type="auto"/>
            <w:vAlign w:val="center"/>
          </w:tcPr>
          <w:p w14:paraId="5B97462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40</w:t>
            </w:r>
          </w:p>
        </w:tc>
        <w:tc>
          <w:tcPr>
            <w:tcW w:w="0" w:type="auto"/>
            <w:vAlign w:val="center"/>
          </w:tcPr>
          <w:p w14:paraId="556A8E92"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48</w:t>
            </w:r>
          </w:p>
        </w:tc>
        <w:tc>
          <w:tcPr>
            <w:tcW w:w="0" w:type="auto"/>
            <w:vAlign w:val="center"/>
          </w:tcPr>
          <w:p w14:paraId="73EC596B"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67</w:t>
            </w:r>
          </w:p>
        </w:tc>
        <w:tc>
          <w:tcPr>
            <w:tcW w:w="0" w:type="auto"/>
            <w:vAlign w:val="center"/>
          </w:tcPr>
          <w:p w14:paraId="4D2F4AAB"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70</w:t>
            </w:r>
          </w:p>
        </w:tc>
      </w:tr>
      <w:tr w:rsidR="00EA189D" w:rsidRPr="00EB6B96" w14:paraId="707ECEE1" w14:textId="77777777" w:rsidTr="00942A8B">
        <w:trPr>
          <w:trHeight w:val="100"/>
        </w:trPr>
        <w:tc>
          <w:tcPr>
            <w:tcW w:w="0" w:type="auto"/>
            <w:vAlign w:val="center"/>
          </w:tcPr>
          <w:p w14:paraId="66694F1C"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Number of rooms (N)</w:t>
            </w:r>
          </w:p>
        </w:tc>
        <w:tc>
          <w:tcPr>
            <w:tcW w:w="0" w:type="auto"/>
            <w:vAlign w:val="center"/>
          </w:tcPr>
          <w:p w14:paraId="710CC574"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w:t>
            </w:r>
          </w:p>
        </w:tc>
        <w:tc>
          <w:tcPr>
            <w:tcW w:w="0" w:type="auto"/>
            <w:vAlign w:val="center"/>
          </w:tcPr>
          <w:p w14:paraId="11FFDCA5"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1FC04FD4"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2FC34019"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3</w:t>
            </w:r>
          </w:p>
        </w:tc>
      </w:tr>
      <w:tr w:rsidR="00EA189D" w:rsidRPr="00EB6B96" w14:paraId="31144912" w14:textId="77777777" w:rsidTr="00942A8B">
        <w:trPr>
          <w:trHeight w:val="100"/>
        </w:trPr>
        <w:tc>
          <w:tcPr>
            <w:tcW w:w="0" w:type="auto"/>
            <w:vAlign w:val="center"/>
          </w:tcPr>
          <w:p w14:paraId="4BD378BC"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S</w:t>
            </w:r>
            <w:r w:rsidRPr="00EB6B96">
              <w:rPr>
                <w:rFonts w:asciiTheme="minorHAnsi" w:hAnsiTheme="minorHAnsi" w:cstheme="minorHAnsi"/>
                <w:sz w:val="18"/>
                <w:szCs w:val="18"/>
                <w:vertAlign w:val="subscript"/>
              </w:rPr>
              <w:t>o</w:t>
            </w:r>
            <w:r w:rsidRPr="00EB6B96">
              <w:rPr>
                <w:rFonts w:asciiTheme="minorHAnsi" w:hAnsiTheme="minorHAnsi" w:cstheme="minorHAnsi"/>
                <w:sz w:val="18"/>
                <w:szCs w:val="18"/>
              </w:rPr>
              <w:t xml:space="preserve"> (m2)</w:t>
            </w:r>
          </w:p>
          <w:p w14:paraId="0ACBACD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Outdoor surface area</w:t>
            </w:r>
          </w:p>
        </w:tc>
        <w:tc>
          <w:tcPr>
            <w:tcW w:w="0" w:type="auto"/>
            <w:vAlign w:val="center"/>
          </w:tcPr>
          <w:p w14:paraId="42B1DD0A"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w:t>
            </w:r>
          </w:p>
        </w:tc>
        <w:tc>
          <w:tcPr>
            <w:tcW w:w="0" w:type="auto"/>
            <w:vAlign w:val="center"/>
          </w:tcPr>
          <w:p w14:paraId="3C799FED"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8</w:t>
            </w:r>
          </w:p>
        </w:tc>
        <w:tc>
          <w:tcPr>
            <w:tcW w:w="0" w:type="auto"/>
            <w:vAlign w:val="center"/>
          </w:tcPr>
          <w:p w14:paraId="20F91207"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15</w:t>
            </w:r>
          </w:p>
        </w:tc>
        <w:tc>
          <w:tcPr>
            <w:tcW w:w="0" w:type="auto"/>
            <w:vAlign w:val="center"/>
          </w:tcPr>
          <w:p w14:paraId="0E356299"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2.7</w:t>
            </w:r>
          </w:p>
        </w:tc>
      </w:tr>
      <w:tr w:rsidR="00EA189D" w:rsidRPr="00EB6B96" w14:paraId="06B31A68" w14:textId="77777777" w:rsidTr="00942A8B">
        <w:trPr>
          <w:trHeight w:val="100"/>
        </w:trPr>
        <w:tc>
          <w:tcPr>
            <w:tcW w:w="0" w:type="auto"/>
            <w:vAlign w:val="center"/>
          </w:tcPr>
          <w:p w14:paraId="724407EF" w14:textId="77777777" w:rsidR="00EA189D" w:rsidRPr="00EB6B96" w:rsidRDefault="00EA189D" w:rsidP="006B6923">
            <w:pPr>
              <w:tabs>
                <w:tab w:val="left" w:pos="10080"/>
              </w:tabs>
              <w:ind w:right="-333"/>
              <w:jc w:val="left"/>
              <w:rPr>
                <w:rFonts w:asciiTheme="minorHAnsi" w:hAnsiTheme="minorHAnsi" w:cstheme="minorHAnsi"/>
                <w:sz w:val="18"/>
                <w:szCs w:val="18"/>
              </w:rPr>
            </w:pPr>
            <w:r w:rsidRPr="00EB6B96">
              <w:rPr>
                <w:rFonts w:asciiTheme="minorHAnsi" w:hAnsiTheme="minorHAnsi" w:cstheme="minorHAnsi"/>
                <w:sz w:val="18"/>
                <w:szCs w:val="18"/>
              </w:rPr>
              <w:t>Number of balconies</w:t>
            </w:r>
          </w:p>
          <w:p w14:paraId="36F15835" w14:textId="77777777" w:rsidR="00EA189D" w:rsidRPr="00EB6B96" w:rsidRDefault="00EA189D" w:rsidP="006B6923">
            <w:pPr>
              <w:tabs>
                <w:tab w:val="left" w:pos="10080"/>
              </w:tabs>
              <w:ind w:right="-333"/>
              <w:jc w:val="left"/>
              <w:rPr>
                <w:rFonts w:asciiTheme="minorHAnsi" w:hAnsiTheme="minorHAnsi" w:cstheme="minorHAnsi"/>
                <w:sz w:val="18"/>
                <w:szCs w:val="18"/>
              </w:rPr>
            </w:pPr>
            <w:r w:rsidRPr="00EB6B96">
              <w:rPr>
                <w:rFonts w:asciiTheme="minorHAnsi" w:hAnsiTheme="minorHAnsi" w:cstheme="minorHAnsi"/>
                <w:sz w:val="18"/>
                <w:szCs w:val="18"/>
              </w:rPr>
              <w:t>Number of terraces</w:t>
            </w:r>
          </w:p>
        </w:tc>
        <w:tc>
          <w:tcPr>
            <w:tcW w:w="0" w:type="auto"/>
            <w:vAlign w:val="center"/>
          </w:tcPr>
          <w:p w14:paraId="63D1B0CF"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w:t>
            </w:r>
          </w:p>
          <w:p w14:paraId="7E78E0F1"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w:t>
            </w:r>
          </w:p>
        </w:tc>
        <w:tc>
          <w:tcPr>
            <w:tcW w:w="0" w:type="auto"/>
            <w:vAlign w:val="center"/>
          </w:tcPr>
          <w:p w14:paraId="7E5A8564"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w:t>
            </w:r>
          </w:p>
          <w:p w14:paraId="71BC59AB"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61C8D73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w:t>
            </w:r>
          </w:p>
          <w:p w14:paraId="70F4B6E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w:t>
            </w:r>
          </w:p>
        </w:tc>
        <w:tc>
          <w:tcPr>
            <w:tcW w:w="0" w:type="auto"/>
            <w:vAlign w:val="center"/>
          </w:tcPr>
          <w:p w14:paraId="771909DD"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w:t>
            </w:r>
          </w:p>
          <w:p w14:paraId="169C569A"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w:t>
            </w:r>
          </w:p>
        </w:tc>
      </w:tr>
      <w:tr w:rsidR="00EA189D" w:rsidRPr="00EB6B96" w14:paraId="47875AE9" w14:textId="77777777" w:rsidTr="00942A8B">
        <w:trPr>
          <w:trHeight w:val="100"/>
        </w:trPr>
        <w:tc>
          <w:tcPr>
            <w:tcW w:w="0" w:type="auto"/>
            <w:vAlign w:val="center"/>
          </w:tcPr>
          <w:p w14:paraId="2008ADB2"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Number of residents (R)</w:t>
            </w:r>
          </w:p>
        </w:tc>
        <w:tc>
          <w:tcPr>
            <w:tcW w:w="0" w:type="auto"/>
            <w:vAlign w:val="center"/>
          </w:tcPr>
          <w:p w14:paraId="07FC5C0F"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77646F7B"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3</w:t>
            </w:r>
          </w:p>
        </w:tc>
        <w:tc>
          <w:tcPr>
            <w:tcW w:w="0" w:type="auto"/>
            <w:vAlign w:val="center"/>
          </w:tcPr>
          <w:p w14:paraId="6315BF30"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545477D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r>
      <w:tr w:rsidR="00EA189D" w:rsidRPr="00EB6B96" w14:paraId="5D3B9863" w14:textId="77777777" w:rsidTr="00942A8B">
        <w:trPr>
          <w:trHeight w:val="100"/>
        </w:trPr>
        <w:tc>
          <w:tcPr>
            <w:tcW w:w="0" w:type="auto"/>
            <w:vAlign w:val="center"/>
          </w:tcPr>
          <w:p w14:paraId="2EB77FA0"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S</w:t>
            </w:r>
            <w:r w:rsidRPr="00EB6B96">
              <w:rPr>
                <w:rFonts w:asciiTheme="minorHAnsi" w:hAnsiTheme="minorHAnsi" w:cstheme="minorHAnsi"/>
                <w:sz w:val="18"/>
                <w:szCs w:val="18"/>
                <w:vertAlign w:val="subscript"/>
              </w:rPr>
              <w:t>i</w:t>
            </w:r>
            <w:r w:rsidRPr="00EB6B96">
              <w:rPr>
                <w:rFonts w:asciiTheme="minorHAnsi" w:hAnsiTheme="minorHAnsi" w:cstheme="minorHAnsi"/>
                <w:sz w:val="18"/>
                <w:szCs w:val="18"/>
              </w:rPr>
              <w:t>/R (m2)</w:t>
            </w:r>
          </w:p>
        </w:tc>
        <w:tc>
          <w:tcPr>
            <w:tcW w:w="0" w:type="auto"/>
            <w:vAlign w:val="center"/>
          </w:tcPr>
          <w:p w14:paraId="50A7F4F1"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20</w:t>
            </w:r>
          </w:p>
        </w:tc>
        <w:tc>
          <w:tcPr>
            <w:tcW w:w="0" w:type="auto"/>
            <w:vAlign w:val="center"/>
          </w:tcPr>
          <w:p w14:paraId="566C96E5"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16</w:t>
            </w:r>
          </w:p>
        </w:tc>
        <w:tc>
          <w:tcPr>
            <w:tcW w:w="0" w:type="auto"/>
            <w:vAlign w:val="center"/>
          </w:tcPr>
          <w:p w14:paraId="1EE5A4C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33</w:t>
            </w:r>
          </w:p>
        </w:tc>
        <w:tc>
          <w:tcPr>
            <w:tcW w:w="0" w:type="auto"/>
            <w:vAlign w:val="center"/>
          </w:tcPr>
          <w:p w14:paraId="6AEE90F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35</w:t>
            </w:r>
          </w:p>
        </w:tc>
      </w:tr>
      <w:tr w:rsidR="00EA189D" w:rsidRPr="00EB6B96" w14:paraId="7231A7FA" w14:textId="77777777" w:rsidTr="00942A8B">
        <w:trPr>
          <w:trHeight w:val="100"/>
        </w:trPr>
        <w:tc>
          <w:tcPr>
            <w:tcW w:w="0" w:type="auto"/>
            <w:vAlign w:val="center"/>
          </w:tcPr>
          <w:p w14:paraId="5251ED3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N/R</w:t>
            </w:r>
          </w:p>
        </w:tc>
        <w:tc>
          <w:tcPr>
            <w:tcW w:w="0" w:type="auto"/>
            <w:vAlign w:val="center"/>
          </w:tcPr>
          <w:p w14:paraId="2C05923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0.50</w:t>
            </w:r>
          </w:p>
        </w:tc>
        <w:tc>
          <w:tcPr>
            <w:tcW w:w="0" w:type="auto"/>
            <w:vAlign w:val="center"/>
          </w:tcPr>
          <w:p w14:paraId="6CC66BB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0.66</w:t>
            </w:r>
          </w:p>
        </w:tc>
        <w:tc>
          <w:tcPr>
            <w:tcW w:w="0" w:type="auto"/>
            <w:vAlign w:val="center"/>
          </w:tcPr>
          <w:p w14:paraId="1320413A"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1.00</w:t>
            </w:r>
          </w:p>
        </w:tc>
        <w:tc>
          <w:tcPr>
            <w:tcW w:w="0" w:type="auto"/>
            <w:vAlign w:val="center"/>
          </w:tcPr>
          <w:p w14:paraId="57730272"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1.50</w:t>
            </w:r>
          </w:p>
        </w:tc>
      </w:tr>
      <w:tr w:rsidR="00EA189D" w:rsidRPr="00EB6B96" w14:paraId="4482C48A" w14:textId="77777777" w:rsidTr="00942A8B">
        <w:trPr>
          <w:trHeight w:val="100"/>
        </w:trPr>
        <w:tc>
          <w:tcPr>
            <w:tcW w:w="0" w:type="auto"/>
            <w:vAlign w:val="center"/>
          </w:tcPr>
          <w:p w14:paraId="7606167B"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S</w:t>
            </w:r>
            <w:r w:rsidRPr="00EB6B96">
              <w:rPr>
                <w:rFonts w:asciiTheme="minorHAnsi" w:hAnsiTheme="minorHAnsi" w:cstheme="minorHAnsi"/>
                <w:sz w:val="18"/>
                <w:szCs w:val="18"/>
                <w:vertAlign w:val="subscript"/>
              </w:rPr>
              <w:t>o</w:t>
            </w:r>
            <w:r w:rsidRPr="00EB6B96">
              <w:rPr>
                <w:rFonts w:asciiTheme="minorHAnsi" w:hAnsiTheme="minorHAnsi" w:cstheme="minorHAnsi"/>
                <w:sz w:val="18"/>
                <w:szCs w:val="18"/>
              </w:rPr>
              <w:t>/R</w:t>
            </w:r>
          </w:p>
        </w:tc>
        <w:tc>
          <w:tcPr>
            <w:tcW w:w="0" w:type="auto"/>
            <w:vAlign w:val="center"/>
          </w:tcPr>
          <w:p w14:paraId="629965D7"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0.00</w:t>
            </w:r>
          </w:p>
        </w:tc>
        <w:tc>
          <w:tcPr>
            <w:tcW w:w="0" w:type="auto"/>
            <w:vAlign w:val="center"/>
          </w:tcPr>
          <w:p w14:paraId="31E4DE5F"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2.66</w:t>
            </w:r>
          </w:p>
        </w:tc>
        <w:tc>
          <w:tcPr>
            <w:tcW w:w="0" w:type="auto"/>
            <w:vAlign w:val="center"/>
          </w:tcPr>
          <w:p w14:paraId="3433A041"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7.50</w:t>
            </w:r>
          </w:p>
        </w:tc>
        <w:tc>
          <w:tcPr>
            <w:tcW w:w="0" w:type="auto"/>
            <w:vAlign w:val="center"/>
          </w:tcPr>
          <w:p w14:paraId="3B97AADD"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1.35</w:t>
            </w:r>
          </w:p>
        </w:tc>
      </w:tr>
      <w:tr w:rsidR="00EA189D" w:rsidRPr="00EB6B96" w14:paraId="1E27C9A7" w14:textId="77777777" w:rsidTr="00942A8B">
        <w:trPr>
          <w:trHeight w:val="100"/>
        </w:trPr>
        <w:tc>
          <w:tcPr>
            <w:tcW w:w="0" w:type="auto"/>
            <w:vAlign w:val="center"/>
          </w:tcPr>
          <w:p w14:paraId="67BABD52"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lastRenderedPageBreak/>
              <w:t>Resident age</w:t>
            </w:r>
          </w:p>
        </w:tc>
        <w:tc>
          <w:tcPr>
            <w:tcW w:w="0" w:type="auto"/>
            <w:vAlign w:val="center"/>
          </w:tcPr>
          <w:p w14:paraId="01FDCEC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26 – 27</w:t>
            </w:r>
          </w:p>
        </w:tc>
        <w:tc>
          <w:tcPr>
            <w:tcW w:w="0" w:type="auto"/>
            <w:vAlign w:val="center"/>
          </w:tcPr>
          <w:p w14:paraId="00F36A6A"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49 – 51 – 23</w:t>
            </w:r>
          </w:p>
        </w:tc>
        <w:tc>
          <w:tcPr>
            <w:tcW w:w="0" w:type="auto"/>
            <w:vAlign w:val="center"/>
          </w:tcPr>
          <w:p w14:paraId="1546131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34 – 27</w:t>
            </w:r>
          </w:p>
        </w:tc>
        <w:tc>
          <w:tcPr>
            <w:tcW w:w="0" w:type="auto"/>
            <w:vAlign w:val="center"/>
          </w:tcPr>
          <w:p w14:paraId="3C582F9F"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 xml:space="preserve">24 – 27 </w:t>
            </w:r>
          </w:p>
        </w:tc>
      </w:tr>
      <w:tr w:rsidR="00EA189D" w:rsidRPr="00EB6B96" w14:paraId="15A93A9C" w14:textId="77777777" w:rsidTr="00942A8B">
        <w:trPr>
          <w:trHeight w:val="100"/>
        </w:trPr>
        <w:tc>
          <w:tcPr>
            <w:tcW w:w="0" w:type="auto"/>
            <w:vAlign w:val="center"/>
          </w:tcPr>
          <w:p w14:paraId="776FBE04"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Number of residents in WFM</w:t>
            </w:r>
          </w:p>
        </w:tc>
        <w:tc>
          <w:tcPr>
            <w:tcW w:w="0" w:type="auto"/>
            <w:vAlign w:val="center"/>
          </w:tcPr>
          <w:p w14:paraId="14D9A20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7C2ABDA3"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w:t>
            </w:r>
          </w:p>
        </w:tc>
        <w:tc>
          <w:tcPr>
            <w:tcW w:w="0" w:type="auto"/>
            <w:vAlign w:val="center"/>
          </w:tcPr>
          <w:p w14:paraId="0EBA0C28"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0</w:t>
            </w:r>
          </w:p>
        </w:tc>
        <w:tc>
          <w:tcPr>
            <w:tcW w:w="0" w:type="auto"/>
            <w:vAlign w:val="center"/>
          </w:tcPr>
          <w:p w14:paraId="12710A6A"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w:t>
            </w:r>
          </w:p>
        </w:tc>
      </w:tr>
      <w:tr w:rsidR="00EA189D" w:rsidRPr="00EB6B96" w14:paraId="00988544" w14:textId="77777777" w:rsidTr="00942A8B">
        <w:trPr>
          <w:trHeight w:val="100"/>
        </w:trPr>
        <w:tc>
          <w:tcPr>
            <w:tcW w:w="0" w:type="auto"/>
            <w:vAlign w:val="center"/>
          </w:tcPr>
          <w:p w14:paraId="183A2BB2"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Pop-up office</w:t>
            </w:r>
          </w:p>
        </w:tc>
        <w:tc>
          <w:tcPr>
            <w:tcW w:w="0" w:type="auto"/>
            <w:vAlign w:val="center"/>
          </w:tcPr>
          <w:p w14:paraId="0AAB07E9"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Living room</w:t>
            </w:r>
          </w:p>
        </w:tc>
        <w:tc>
          <w:tcPr>
            <w:tcW w:w="0" w:type="auto"/>
            <w:vAlign w:val="center"/>
          </w:tcPr>
          <w:p w14:paraId="5E5B2A9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Living room</w:t>
            </w:r>
          </w:p>
        </w:tc>
        <w:tc>
          <w:tcPr>
            <w:tcW w:w="0" w:type="auto"/>
            <w:vAlign w:val="center"/>
          </w:tcPr>
          <w:p w14:paraId="6A7ED958"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w:t>
            </w:r>
          </w:p>
        </w:tc>
        <w:tc>
          <w:tcPr>
            <w:tcW w:w="0" w:type="auto"/>
            <w:vAlign w:val="center"/>
          </w:tcPr>
          <w:p w14:paraId="1F64FF07"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Bedroom</w:t>
            </w:r>
          </w:p>
        </w:tc>
      </w:tr>
      <w:tr w:rsidR="00EA189D" w:rsidRPr="00EB6B96" w14:paraId="2CB5098C" w14:textId="77777777" w:rsidTr="00942A8B">
        <w:trPr>
          <w:trHeight w:val="100"/>
        </w:trPr>
        <w:tc>
          <w:tcPr>
            <w:tcW w:w="0" w:type="auto"/>
            <w:vAlign w:val="center"/>
          </w:tcPr>
          <w:p w14:paraId="763D2D62"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Number of residents exercising</w:t>
            </w:r>
          </w:p>
        </w:tc>
        <w:tc>
          <w:tcPr>
            <w:tcW w:w="0" w:type="auto"/>
            <w:vAlign w:val="center"/>
          </w:tcPr>
          <w:p w14:paraId="240304D6"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22DD4AE7"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w:t>
            </w:r>
          </w:p>
        </w:tc>
        <w:tc>
          <w:tcPr>
            <w:tcW w:w="0" w:type="auto"/>
            <w:vAlign w:val="center"/>
          </w:tcPr>
          <w:p w14:paraId="1E8F4C7F"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2</w:t>
            </w:r>
          </w:p>
        </w:tc>
        <w:tc>
          <w:tcPr>
            <w:tcW w:w="0" w:type="auto"/>
            <w:vAlign w:val="center"/>
          </w:tcPr>
          <w:p w14:paraId="7A767009"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1</w:t>
            </w:r>
          </w:p>
        </w:tc>
      </w:tr>
      <w:tr w:rsidR="00EA189D" w:rsidRPr="00EB6B96" w14:paraId="626B6F1B" w14:textId="77777777" w:rsidTr="00942A8B">
        <w:trPr>
          <w:trHeight w:val="100"/>
        </w:trPr>
        <w:tc>
          <w:tcPr>
            <w:tcW w:w="0" w:type="auto"/>
            <w:vAlign w:val="center"/>
          </w:tcPr>
          <w:p w14:paraId="383C1880"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Exercise space</w:t>
            </w:r>
          </w:p>
        </w:tc>
        <w:tc>
          <w:tcPr>
            <w:tcW w:w="0" w:type="auto"/>
            <w:vAlign w:val="center"/>
          </w:tcPr>
          <w:p w14:paraId="7484BBC4"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Living room</w:t>
            </w:r>
          </w:p>
        </w:tc>
        <w:tc>
          <w:tcPr>
            <w:tcW w:w="0" w:type="auto"/>
            <w:vAlign w:val="center"/>
          </w:tcPr>
          <w:p w14:paraId="2324432B"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Bedroom</w:t>
            </w:r>
          </w:p>
        </w:tc>
        <w:tc>
          <w:tcPr>
            <w:tcW w:w="0" w:type="auto"/>
            <w:vAlign w:val="center"/>
          </w:tcPr>
          <w:p w14:paraId="413190ED"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Terrace / Bedroom</w:t>
            </w:r>
          </w:p>
        </w:tc>
        <w:tc>
          <w:tcPr>
            <w:tcW w:w="0" w:type="auto"/>
            <w:vAlign w:val="center"/>
          </w:tcPr>
          <w:p w14:paraId="2591B8CE" w14:textId="77777777" w:rsidR="00EA189D" w:rsidRPr="00EB6B96" w:rsidRDefault="00EA189D" w:rsidP="006B6923">
            <w:pPr>
              <w:tabs>
                <w:tab w:val="left" w:pos="10080"/>
              </w:tabs>
              <w:ind w:right="-333"/>
              <w:rPr>
                <w:rFonts w:asciiTheme="minorHAnsi" w:hAnsiTheme="minorHAnsi" w:cstheme="minorHAnsi"/>
                <w:sz w:val="18"/>
                <w:szCs w:val="18"/>
              </w:rPr>
            </w:pPr>
            <w:r w:rsidRPr="00EB6B96">
              <w:rPr>
                <w:rFonts w:asciiTheme="minorHAnsi" w:hAnsiTheme="minorHAnsi" w:cstheme="minorHAnsi"/>
                <w:sz w:val="18"/>
                <w:szCs w:val="18"/>
              </w:rPr>
              <w:t>Living room</w:t>
            </w:r>
          </w:p>
        </w:tc>
      </w:tr>
    </w:tbl>
    <w:p w14:paraId="5CF28EB0" w14:textId="77777777" w:rsidR="00EA189D" w:rsidRPr="00EB6B96" w:rsidRDefault="00EA189D" w:rsidP="006B6923">
      <w:pPr>
        <w:tabs>
          <w:tab w:val="left" w:pos="10080"/>
        </w:tabs>
        <w:ind w:right="-333"/>
        <w:rPr>
          <w:rFonts w:asciiTheme="minorHAnsi" w:eastAsia="Times New Roman" w:hAnsiTheme="minorHAnsi" w:cstheme="minorHAnsi"/>
          <w:szCs w:val="24"/>
        </w:rPr>
      </w:pPr>
      <w:r w:rsidRPr="00EB6B96">
        <w:rPr>
          <w:rFonts w:asciiTheme="minorHAnsi" w:eastAsia="Times New Roman" w:hAnsiTheme="minorHAnsi" w:cstheme="minorHAnsi"/>
          <w:szCs w:val="24"/>
        </w:rPr>
        <w:t xml:space="preserve">As regards the indoor environmental conditions, the results in </w:t>
      </w:r>
      <w:r>
        <w:rPr>
          <w:rFonts w:asciiTheme="minorHAnsi" w:eastAsia="Times New Roman" w:hAnsiTheme="minorHAnsi" w:cstheme="minorHAnsi"/>
          <w:szCs w:val="24"/>
        </w:rPr>
        <w:t>T</w:t>
      </w:r>
      <w:r w:rsidRPr="00EB6B96">
        <w:rPr>
          <w:rFonts w:asciiTheme="minorHAnsi" w:eastAsia="Times New Roman" w:hAnsiTheme="minorHAnsi" w:cstheme="minorHAnsi"/>
          <w:szCs w:val="24"/>
        </w:rPr>
        <w:t xml:space="preserve">able </w:t>
      </w:r>
      <w:hyperlink w:anchor="table2" w:history="1">
        <w:r w:rsidRPr="00EB6B96">
          <w:rPr>
            <w:rStyle w:val="Hyperlink"/>
            <w:rFonts w:asciiTheme="minorHAnsi" w:eastAsia="Times New Roman" w:hAnsiTheme="minorHAnsi" w:cstheme="minorHAnsi"/>
            <w:szCs w:val="24"/>
            <w:u w:val="none"/>
          </w:rPr>
          <w:t>2</w:t>
        </w:r>
      </w:hyperlink>
      <w:r w:rsidRPr="00EB6B96">
        <w:rPr>
          <w:rFonts w:asciiTheme="minorHAnsi" w:eastAsia="Times New Roman" w:hAnsiTheme="minorHAnsi" w:cstheme="minorHAnsi"/>
          <w:szCs w:val="24"/>
        </w:rPr>
        <w:t xml:space="preserve"> indicate a greater need for natural light and less thermal comfort for the case of north-facing buildings (A, C, D), while there was a greater sense of light in the dual-aspect Case B; furthermore, the users were aware of very little noise due to the lack of mobility during the pandemic. As far as the outdoor environmental conditions were concerned, the owners’ answers also stressed the need to have a terrace of a functional size, larger than the  6 m</w:t>
      </w:r>
      <w:r w:rsidRPr="00EB6B96">
        <w:rPr>
          <w:rFonts w:asciiTheme="minorHAnsi" w:eastAsia="Times New Roman" w:hAnsiTheme="minorHAnsi" w:cstheme="minorHAnsi"/>
          <w:szCs w:val="24"/>
          <w:vertAlign w:val="superscript"/>
        </w:rPr>
        <w:t>2</w:t>
      </w:r>
      <w:r w:rsidRPr="00EB6B96">
        <w:rPr>
          <w:rFonts w:asciiTheme="minorHAnsi" w:eastAsia="Times New Roman" w:hAnsiTheme="minorHAnsi" w:cstheme="minorHAnsi"/>
          <w:szCs w:val="24"/>
        </w:rPr>
        <w:t xml:space="preserve"> proposed by </w:t>
      </w:r>
      <w:r w:rsidRPr="00EB6B96">
        <w:rPr>
          <w:rFonts w:asciiTheme="minorHAnsi" w:eastAsia="Times New Roman" w:hAnsiTheme="minorHAnsi" w:cstheme="minorHAnsi"/>
          <w:szCs w:val="24"/>
        </w:rPr>
        <w:fldChar w:fldCharType="begin" w:fldLock="1"/>
      </w:r>
      <w:r w:rsidRPr="00EB6B96">
        <w:rPr>
          <w:rFonts w:asciiTheme="minorHAnsi" w:eastAsia="Times New Roman" w:hAnsiTheme="minorHAnsi" w:cstheme="minorHAnsi"/>
          <w:szCs w:val="24"/>
        </w:rPr>
        <w:instrText>ADDIN CSL_CITATION {"citationItems":[{"id":"ITEM-1","itemData":{"DOI":"10.1108/ARCH-07-2020-0144","ISSN":"19387806","abstract":"Purpose: The COVID-19 pandemic resulted in the compulsory quarantine of many of the world's inhabitants, and by staying at home, several functional developments emerged in residential spaces in Jeddah that affected the role of the house as a contributor to individuals' quality of life under the pressures of quarantine. Given the necessity of the apartments to adapt to these emerging developments, this study explores the determinants associated with the flexibility of residential apartments by looking at the extent to which they meet the new psychological, social and cultural roles required by their users post-COVID-19. Design/methodology/approach: The qualitative approach (1) extracted concepts related to the flexibility of housing from the available literature and (2) extrapolated the flexibility of the residential apartments from the participants' study (12 families) in different areas of Jeddah by analyzing the results of targeted interviews. Findings: There is a gap in the participant's understanding of the quality of housing and the level of satisfaction with a housing design that differs before and after their quarantine experience. The participant's adaptation to self-quarantine was mainly through furniture distribution, and housing flexibility was less reliant on the physical transformation of the place than on the change in the inhabitants' perceptions. There was an indication that the deficiencies of flexibility in design relates to the functional, cultural and structural aspects of residential buildings. Originality/value: This study generated suggestions to develop the foundations for flexible housing design and activate its role under the post-quarantine context according to social and cultural variables. Some proposals should become future requirements for residential apartments to benefit officials and stakeholders to develop housing flexibility.","author":[{"dropping-particle":"","family":"Bettaieb","given":"Donia M.","non-dropping-particle":"","parse-names":false,"suffix":""},{"dropping-particle":"","family":"Alsabban","given":"Reem","non-dropping-particle":"","parse-names":false,"suffix":""}],"container-title":"Archnet-IJAR","id":"ITEM-1","issue":"1","issued":{"date-parts":[["2020"]]},"page":"28-50","title":"Emerging living styles post-COVID-19: housing flexibility as a fundamental requirement for apartments in Jeddah","type":"article-journal","volume":"15"},"uris":["http://www.mendeley.com/documents/?uuid=e14f2564-155d-4652-9809-518445c7f815"]}],"mendeley":{"formattedCitation":"(Bettaieb &amp; Alsabban, 2020)","manualFormatting":"Bettaieb &amp; Alsabban (2020)","plainTextFormattedCitation":"(Bettaieb &amp; Alsabban, 2020)","previouslyFormattedCitation":"(Bettaieb &amp; Alsabban, 2020)"},"properties":{"noteIndex":0},"schema":"https://github.com/citation-style-language/schema/raw/master/csl-citation.json"}</w:instrText>
      </w:r>
      <w:r w:rsidRPr="00EB6B96">
        <w:rPr>
          <w:rFonts w:asciiTheme="minorHAnsi" w:eastAsia="Times New Roman" w:hAnsiTheme="minorHAnsi" w:cstheme="minorHAnsi"/>
          <w:szCs w:val="24"/>
        </w:rPr>
        <w:fldChar w:fldCharType="separate"/>
      </w:r>
      <w:r w:rsidRPr="00EB6B96">
        <w:rPr>
          <w:rFonts w:asciiTheme="minorHAnsi" w:eastAsia="Times New Roman" w:hAnsiTheme="minorHAnsi" w:cstheme="minorHAnsi"/>
          <w:noProof/>
          <w:szCs w:val="24"/>
        </w:rPr>
        <w:t>Bettaieb &amp; Alsabban (</w:t>
      </w:r>
      <w:hyperlink w:anchor="three" w:history="1">
        <w:r w:rsidRPr="00EB6B96">
          <w:rPr>
            <w:rStyle w:val="Hyperlink"/>
            <w:rFonts w:asciiTheme="minorHAnsi" w:eastAsia="Times New Roman" w:hAnsiTheme="minorHAnsi" w:cstheme="minorHAnsi"/>
            <w:noProof/>
            <w:szCs w:val="24"/>
            <w:u w:val="none"/>
          </w:rPr>
          <w:t>2020</w:t>
        </w:r>
      </w:hyperlink>
      <w:r w:rsidRPr="00EB6B96">
        <w:rPr>
          <w:rFonts w:asciiTheme="minorHAnsi" w:eastAsia="Times New Roman" w:hAnsiTheme="minorHAnsi" w:cstheme="minorHAnsi"/>
          <w:noProof/>
          <w:szCs w:val="24"/>
        </w:rPr>
        <w:t>)</w:t>
      </w:r>
      <w:r w:rsidRPr="00EB6B96">
        <w:rPr>
          <w:rFonts w:asciiTheme="minorHAnsi" w:eastAsia="Times New Roman" w:hAnsiTheme="minorHAnsi" w:cstheme="minorHAnsi"/>
          <w:szCs w:val="24"/>
        </w:rPr>
        <w:fldChar w:fldCharType="end"/>
      </w:r>
      <w:r w:rsidRPr="00EB6B96">
        <w:rPr>
          <w:rFonts w:asciiTheme="minorHAnsi" w:eastAsia="Times New Roman" w:hAnsiTheme="minorHAnsi" w:cstheme="minorHAnsi"/>
          <w:szCs w:val="24"/>
        </w:rPr>
        <w:t xml:space="preserve">, and of a shape that makes it easier for activities, according to the standards of </w:t>
      </w:r>
      <w:r w:rsidRPr="00EB6B96">
        <w:rPr>
          <w:rFonts w:asciiTheme="minorHAnsi" w:eastAsia="Times New Roman" w:hAnsiTheme="minorHAnsi" w:cstheme="minorHAnsi"/>
          <w:szCs w:val="24"/>
        </w:rPr>
        <w:fldChar w:fldCharType="begin" w:fldLock="1"/>
      </w:r>
      <w:r w:rsidRPr="00EB6B96">
        <w:rPr>
          <w:rFonts w:asciiTheme="minorHAnsi" w:eastAsia="Times New Roman" w:hAnsiTheme="minorHAnsi" w:cstheme="minorHAnsi"/>
          <w:szCs w:val="24"/>
        </w:rPr>
        <w:instrText>ADDIN CSL_CITATION {"citationItems":[{"id":"ITEM-1","itemData":{"author":[{"dropping-particle":"","family":"Gupta","given":"Pulkit","non-dropping-particle":"","parse-names":false,"suffix":""}],"container-title":"International Journal of Research and Analytical Reviews","id":"ITEM-1","issue":"1","issued":{"date-parts":[["2019"]]},"page":"1345-1352","title":"Relevance of Terrace Space in Architecture","type":"article-journal","volume":"6"},"uris":["http://www.mendeley.com/documents/?uuid=0b6d2896-2760-40ac-a638-2d20ddf95ab0"]}],"mendeley":{"formattedCitation":"(Gupta, 2019)","manualFormatting":"Gupta (2019)","plainTextFormattedCitation":"(Gupta, 2019)","previouslyFormattedCitation":"(Gupta, 2019)"},"properties":{"noteIndex":0},"schema":"https://github.com/citation-style-language/schema/raw/master/csl-citation.json"}</w:instrText>
      </w:r>
      <w:r w:rsidRPr="00EB6B96">
        <w:rPr>
          <w:rFonts w:asciiTheme="minorHAnsi" w:eastAsia="Times New Roman" w:hAnsiTheme="minorHAnsi" w:cstheme="minorHAnsi"/>
          <w:szCs w:val="24"/>
        </w:rPr>
        <w:fldChar w:fldCharType="separate"/>
      </w:r>
      <w:r w:rsidRPr="00EB6B96">
        <w:rPr>
          <w:rFonts w:asciiTheme="minorHAnsi" w:eastAsia="Times New Roman" w:hAnsiTheme="minorHAnsi" w:cstheme="minorHAnsi"/>
          <w:noProof/>
          <w:szCs w:val="24"/>
        </w:rPr>
        <w:t>Gupta (</w:t>
      </w:r>
      <w:hyperlink w:anchor="twelve" w:history="1">
        <w:r w:rsidRPr="00EB6B96">
          <w:rPr>
            <w:rStyle w:val="Hyperlink"/>
            <w:rFonts w:asciiTheme="minorHAnsi" w:eastAsia="Times New Roman" w:hAnsiTheme="minorHAnsi" w:cstheme="minorHAnsi"/>
            <w:noProof/>
            <w:szCs w:val="24"/>
            <w:u w:val="none"/>
          </w:rPr>
          <w:t>2019</w:t>
        </w:r>
      </w:hyperlink>
      <w:r w:rsidRPr="00EB6B96">
        <w:rPr>
          <w:rFonts w:asciiTheme="minorHAnsi" w:eastAsia="Times New Roman" w:hAnsiTheme="minorHAnsi" w:cstheme="minorHAnsi"/>
          <w:noProof/>
          <w:szCs w:val="24"/>
        </w:rPr>
        <w:t>)</w:t>
      </w:r>
      <w:r w:rsidRPr="00EB6B96">
        <w:rPr>
          <w:rFonts w:asciiTheme="minorHAnsi" w:eastAsia="Times New Roman" w:hAnsiTheme="minorHAnsi" w:cstheme="minorHAnsi"/>
          <w:szCs w:val="24"/>
        </w:rPr>
        <w:fldChar w:fldCharType="end"/>
      </w:r>
      <w:r w:rsidRPr="00EB6B96">
        <w:rPr>
          <w:rFonts w:asciiTheme="minorHAnsi" w:eastAsia="Times New Roman" w:hAnsiTheme="minorHAnsi" w:cstheme="minorHAnsi"/>
          <w:szCs w:val="24"/>
        </w:rPr>
        <w:t>. It is almost a psychological need to avoid the feeling of confinement. The existing balconies are very limited as they are used for hanging out washing or even as storage. In Case C, there are terraces large enough for furniture for the space to be used; however, as those terraces are nearly exclusively north</w:t>
      </w:r>
      <w:r>
        <w:rPr>
          <w:rFonts w:asciiTheme="minorHAnsi" w:eastAsia="Times New Roman" w:hAnsiTheme="minorHAnsi" w:cstheme="minorHAnsi"/>
          <w:szCs w:val="24"/>
        </w:rPr>
        <w:t>-</w:t>
      </w:r>
      <w:r w:rsidRPr="00EB6B96">
        <w:rPr>
          <w:rFonts w:asciiTheme="minorHAnsi" w:eastAsia="Times New Roman" w:hAnsiTheme="minorHAnsi" w:cstheme="minorHAnsi"/>
          <w:szCs w:val="24"/>
        </w:rPr>
        <w:t xml:space="preserve">facing and have no sunlight, </w:t>
      </w:r>
      <w:r>
        <w:rPr>
          <w:rFonts w:asciiTheme="minorHAnsi" w:eastAsia="Times New Roman" w:hAnsiTheme="minorHAnsi" w:cstheme="minorHAnsi"/>
          <w:szCs w:val="24"/>
        </w:rPr>
        <w:t xml:space="preserve">the </w:t>
      </w:r>
      <w:r w:rsidRPr="00EB6B96">
        <w:rPr>
          <w:rFonts w:asciiTheme="minorHAnsi" w:eastAsia="Times New Roman" w:hAnsiTheme="minorHAnsi" w:cstheme="minorHAnsi"/>
          <w:szCs w:val="24"/>
        </w:rPr>
        <w:t>space was not very pleasant and ended up not being used. In this regard, the terrace in Case D is sufficiently large to comfortably hold furniture and was used. Furthermore, even though it is also north-facing, it has views over the sea, which makes it a pleasant spot.</w:t>
      </w:r>
    </w:p>
    <w:p w14:paraId="6058DC23" w14:textId="77777777" w:rsidR="00EA189D" w:rsidRPr="00EB6B96" w:rsidRDefault="00EA189D" w:rsidP="006B6923">
      <w:pPr>
        <w:tabs>
          <w:tab w:val="left" w:pos="10080"/>
        </w:tabs>
        <w:ind w:right="-333"/>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4C0221A0" w14:textId="77777777" w:rsidR="00EA189D" w:rsidRPr="00B37B42" w:rsidRDefault="00EA189D" w:rsidP="006B6923">
      <w:pPr>
        <w:tabs>
          <w:tab w:val="left" w:pos="10080"/>
        </w:tabs>
        <w:ind w:right="-333"/>
        <w:rPr>
          <w:rFonts w:asciiTheme="minorHAnsi" w:hAnsiTheme="minorHAnsi" w:cstheme="minorHAnsi"/>
        </w:rPr>
      </w:pPr>
      <w:bookmarkStart w:id="6" w:name="table2"/>
      <w:r w:rsidRPr="00B37B42">
        <w:rPr>
          <w:rFonts w:asciiTheme="minorHAnsi" w:hAnsiTheme="minorHAnsi" w:cstheme="minorHAnsi"/>
          <w:b/>
        </w:rPr>
        <w:t>Table 2.</w:t>
      </w:r>
      <w:r w:rsidRPr="00B37B42">
        <w:rPr>
          <w:rFonts w:asciiTheme="minorHAnsi" w:hAnsiTheme="minorHAnsi" w:cstheme="minorHAnsi"/>
        </w:rPr>
        <w:t xml:space="preserve"> Subjective indicators.</w:t>
      </w:r>
    </w:p>
    <w:tbl>
      <w:tblPr>
        <w:tblW w:w="0" w:type="auto"/>
        <w:jc w:val="center"/>
        <w:tblBorders>
          <w:top w:val="single" w:sz="4" w:space="0" w:color="000000"/>
          <w:left w:val="nil"/>
          <w:bottom w:val="single" w:sz="4" w:space="0" w:color="000000"/>
          <w:right w:val="nil"/>
          <w:insideH w:val="single" w:sz="4" w:space="0" w:color="000000"/>
          <w:insideV w:val="single" w:sz="4" w:space="0" w:color="000000"/>
        </w:tblBorders>
        <w:tblLook w:val="0000" w:firstRow="0" w:lastRow="0" w:firstColumn="0" w:lastColumn="0" w:noHBand="0" w:noVBand="0"/>
      </w:tblPr>
      <w:tblGrid>
        <w:gridCol w:w="1891"/>
        <w:gridCol w:w="769"/>
        <w:gridCol w:w="1702"/>
        <w:gridCol w:w="1619"/>
        <w:gridCol w:w="1521"/>
        <w:gridCol w:w="1669"/>
      </w:tblGrid>
      <w:tr w:rsidR="00EA189D" w:rsidRPr="00EB6B96" w14:paraId="7E447537" w14:textId="77777777" w:rsidTr="00E76C06">
        <w:trPr>
          <w:jc w:val="center"/>
        </w:trPr>
        <w:tc>
          <w:tcPr>
            <w:tcW w:w="0" w:type="auto"/>
          </w:tcPr>
          <w:bookmarkEnd w:id="6"/>
          <w:p w14:paraId="08D0DB15" w14:textId="77777777" w:rsidR="00EA189D" w:rsidRPr="00EB6B96" w:rsidRDefault="00EA189D" w:rsidP="006B6923">
            <w:pPr>
              <w:tabs>
                <w:tab w:val="left" w:pos="10080"/>
              </w:tabs>
              <w:ind w:right="-333"/>
              <w:rPr>
                <w:rFonts w:asciiTheme="minorHAnsi" w:hAnsiTheme="minorHAnsi" w:cstheme="minorHAnsi"/>
                <w:b/>
                <w:sz w:val="18"/>
                <w:szCs w:val="18"/>
              </w:rPr>
            </w:pPr>
            <w:r w:rsidRPr="00EB6B96">
              <w:rPr>
                <w:rFonts w:asciiTheme="minorHAnsi" w:hAnsiTheme="minorHAnsi" w:cstheme="minorHAnsi"/>
                <w:b/>
                <w:sz w:val="18"/>
                <w:szCs w:val="18"/>
              </w:rPr>
              <w:t>QUESTIONS</w:t>
            </w:r>
          </w:p>
        </w:tc>
        <w:tc>
          <w:tcPr>
            <w:tcW w:w="0" w:type="auto"/>
          </w:tcPr>
          <w:p w14:paraId="4F7173F1" w14:textId="77777777" w:rsidR="00EA189D" w:rsidRPr="00EB6B96" w:rsidRDefault="00EA189D" w:rsidP="006B6923">
            <w:pPr>
              <w:tabs>
                <w:tab w:val="left" w:pos="10080"/>
              </w:tabs>
              <w:ind w:right="-333"/>
              <w:rPr>
                <w:rFonts w:asciiTheme="minorHAnsi" w:hAnsiTheme="minorHAnsi" w:cstheme="minorHAnsi"/>
                <w:b/>
                <w:sz w:val="18"/>
                <w:szCs w:val="18"/>
              </w:rPr>
            </w:pPr>
          </w:p>
        </w:tc>
        <w:tc>
          <w:tcPr>
            <w:tcW w:w="1702" w:type="dxa"/>
          </w:tcPr>
          <w:p w14:paraId="4E79D10C" w14:textId="77777777" w:rsidR="00EA189D" w:rsidRPr="00EB6B96" w:rsidRDefault="00EA189D" w:rsidP="006B6923">
            <w:pPr>
              <w:tabs>
                <w:tab w:val="left" w:pos="10080"/>
              </w:tabs>
              <w:ind w:right="-333"/>
              <w:rPr>
                <w:rFonts w:asciiTheme="minorHAnsi" w:hAnsiTheme="minorHAnsi" w:cstheme="minorHAnsi"/>
                <w:b/>
                <w:sz w:val="18"/>
                <w:szCs w:val="18"/>
              </w:rPr>
            </w:pPr>
            <w:r w:rsidRPr="00EB6B96">
              <w:rPr>
                <w:rFonts w:asciiTheme="minorHAnsi" w:hAnsiTheme="minorHAnsi" w:cstheme="minorHAnsi"/>
                <w:b/>
                <w:sz w:val="18"/>
                <w:szCs w:val="18"/>
              </w:rPr>
              <w:t>A</w:t>
            </w:r>
          </w:p>
        </w:tc>
        <w:tc>
          <w:tcPr>
            <w:tcW w:w="1619" w:type="dxa"/>
          </w:tcPr>
          <w:p w14:paraId="325593CD" w14:textId="77777777" w:rsidR="00EA189D" w:rsidRPr="00EB6B96" w:rsidRDefault="00EA189D" w:rsidP="006B6923">
            <w:pPr>
              <w:tabs>
                <w:tab w:val="left" w:pos="10080"/>
              </w:tabs>
              <w:ind w:right="-333"/>
              <w:rPr>
                <w:rFonts w:asciiTheme="minorHAnsi" w:hAnsiTheme="minorHAnsi" w:cstheme="minorHAnsi"/>
                <w:b/>
                <w:sz w:val="18"/>
                <w:szCs w:val="18"/>
              </w:rPr>
            </w:pPr>
            <w:r w:rsidRPr="00EB6B96">
              <w:rPr>
                <w:rFonts w:asciiTheme="minorHAnsi" w:hAnsiTheme="minorHAnsi" w:cstheme="minorHAnsi"/>
                <w:b/>
                <w:sz w:val="18"/>
                <w:szCs w:val="18"/>
              </w:rPr>
              <w:t>C</w:t>
            </w:r>
          </w:p>
        </w:tc>
        <w:tc>
          <w:tcPr>
            <w:tcW w:w="0" w:type="auto"/>
          </w:tcPr>
          <w:p w14:paraId="1813DC2B" w14:textId="77777777" w:rsidR="00EA189D" w:rsidRPr="00EB6B96" w:rsidRDefault="00EA189D" w:rsidP="006B6923">
            <w:pPr>
              <w:tabs>
                <w:tab w:val="left" w:pos="10080"/>
              </w:tabs>
              <w:ind w:right="-333"/>
              <w:rPr>
                <w:rFonts w:asciiTheme="minorHAnsi" w:hAnsiTheme="minorHAnsi" w:cstheme="minorHAnsi"/>
                <w:b/>
                <w:sz w:val="18"/>
                <w:szCs w:val="18"/>
              </w:rPr>
            </w:pPr>
            <w:r w:rsidRPr="00EB6B96">
              <w:rPr>
                <w:rFonts w:asciiTheme="minorHAnsi" w:hAnsiTheme="minorHAnsi" w:cstheme="minorHAnsi"/>
                <w:b/>
                <w:sz w:val="18"/>
                <w:szCs w:val="18"/>
              </w:rPr>
              <w:t>D</w:t>
            </w:r>
          </w:p>
        </w:tc>
        <w:tc>
          <w:tcPr>
            <w:tcW w:w="1669" w:type="dxa"/>
          </w:tcPr>
          <w:p w14:paraId="4CF2160B" w14:textId="77777777" w:rsidR="00EA189D" w:rsidRPr="00EB6B96" w:rsidRDefault="00EA189D" w:rsidP="006B6923">
            <w:pPr>
              <w:tabs>
                <w:tab w:val="left" w:pos="10080"/>
              </w:tabs>
              <w:ind w:right="-333"/>
              <w:rPr>
                <w:rFonts w:asciiTheme="minorHAnsi" w:hAnsiTheme="minorHAnsi" w:cstheme="minorHAnsi"/>
                <w:b/>
                <w:sz w:val="18"/>
                <w:szCs w:val="18"/>
              </w:rPr>
            </w:pPr>
            <w:r w:rsidRPr="00EB6B96">
              <w:rPr>
                <w:rFonts w:asciiTheme="minorHAnsi" w:hAnsiTheme="minorHAnsi" w:cstheme="minorHAnsi"/>
                <w:b/>
                <w:sz w:val="18"/>
                <w:szCs w:val="18"/>
              </w:rPr>
              <w:t>B</w:t>
            </w:r>
          </w:p>
        </w:tc>
      </w:tr>
      <w:tr w:rsidR="00EA189D" w:rsidRPr="00EB6B96" w14:paraId="19BF1EB6" w14:textId="77777777" w:rsidTr="00E76C06">
        <w:trPr>
          <w:trHeight w:val="100"/>
          <w:jc w:val="center"/>
        </w:trPr>
        <w:tc>
          <w:tcPr>
            <w:tcW w:w="0" w:type="auto"/>
            <w:vMerge w:val="restart"/>
          </w:tcPr>
          <w:p w14:paraId="2351BB4A"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Positive characteristics of current home</w:t>
            </w:r>
          </w:p>
        </w:tc>
        <w:tc>
          <w:tcPr>
            <w:tcW w:w="0" w:type="auto"/>
          </w:tcPr>
          <w:p w14:paraId="118AC68D"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Indoor</w:t>
            </w:r>
          </w:p>
        </w:tc>
        <w:tc>
          <w:tcPr>
            <w:tcW w:w="1702" w:type="dxa"/>
          </w:tcPr>
          <w:p w14:paraId="13EFB956"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All rooms with openings outside</w:t>
            </w:r>
          </w:p>
        </w:tc>
        <w:tc>
          <w:tcPr>
            <w:tcW w:w="1619" w:type="dxa"/>
          </w:tcPr>
          <w:p w14:paraId="6EA5CEDD"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The large and well-lit main bedroom</w:t>
            </w:r>
          </w:p>
        </w:tc>
        <w:tc>
          <w:tcPr>
            <w:tcW w:w="0" w:type="auto"/>
          </w:tcPr>
          <w:p w14:paraId="69FDDE15"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Good surface and distribution</w:t>
            </w:r>
          </w:p>
        </w:tc>
        <w:tc>
          <w:tcPr>
            <w:tcW w:w="1669" w:type="dxa"/>
          </w:tcPr>
          <w:p w14:paraId="4B3DB7C0"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A great deal of light</w:t>
            </w:r>
          </w:p>
        </w:tc>
      </w:tr>
      <w:tr w:rsidR="00EA189D" w:rsidRPr="00EB6B96" w14:paraId="0AB01B92" w14:textId="77777777" w:rsidTr="00E76C06">
        <w:trPr>
          <w:trHeight w:val="100"/>
          <w:jc w:val="center"/>
        </w:trPr>
        <w:tc>
          <w:tcPr>
            <w:tcW w:w="0" w:type="auto"/>
            <w:vMerge/>
          </w:tcPr>
          <w:p w14:paraId="5409FD6A" w14:textId="77777777" w:rsidR="00EA189D" w:rsidRPr="00EB6B96" w:rsidRDefault="00EA189D" w:rsidP="006B6923">
            <w:pPr>
              <w:tabs>
                <w:tab w:val="left" w:pos="10080"/>
              </w:tabs>
              <w:ind w:right="-333"/>
              <w:rPr>
                <w:rFonts w:asciiTheme="minorHAnsi" w:hAnsiTheme="minorHAnsi" w:cstheme="minorHAnsi"/>
                <w:sz w:val="16"/>
                <w:szCs w:val="16"/>
              </w:rPr>
            </w:pPr>
          </w:p>
        </w:tc>
        <w:tc>
          <w:tcPr>
            <w:tcW w:w="0" w:type="auto"/>
          </w:tcPr>
          <w:p w14:paraId="1E4BA86C"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Outdoor</w:t>
            </w:r>
          </w:p>
        </w:tc>
        <w:tc>
          <w:tcPr>
            <w:tcW w:w="1702" w:type="dxa"/>
          </w:tcPr>
          <w:p w14:paraId="5788F3B3"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w:t>
            </w:r>
          </w:p>
        </w:tc>
        <w:tc>
          <w:tcPr>
            <w:tcW w:w="1619" w:type="dxa"/>
          </w:tcPr>
          <w:p w14:paraId="3BFA0A45"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Has terrace</w:t>
            </w:r>
          </w:p>
        </w:tc>
        <w:tc>
          <w:tcPr>
            <w:tcW w:w="0" w:type="auto"/>
          </w:tcPr>
          <w:p w14:paraId="0268D6A8"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Enjoyable outdoor space</w:t>
            </w:r>
          </w:p>
        </w:tc>
        <w:tc>
          <w:tcPr>
            <w:tcW w:w="1669" w:type="dxa"/>
          </w:tcPr>
          <w:p w14:paraId="0AFF997E"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w:t>
            </w:r>
          </w:p>
        </w:tc>
      </w:tr>
      <w:tr w:rsidR="00EA189D" w:rsidRPr="00EB6B96" w14:paraId="2AC0F20D" w14:textId="77777777" w:rsidTr="00E76C06">
        <w:trPr>
          <w:trHeight w:val="100"/>
          <w:jc w:val="center"/>
        </w:trPr>
        <w:tc>
          <w:tcPr>
            <w:tcW w:w="0" w:type="auto"/>
            <w:vMerge w:val="restart"/>
          </w:tcPr>
          <w:p w14:paraId="211E5B44"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Negative characteristics of current home</w:t>
            </w:r>
          </w:p>
        </w:tc>
        <w:tc>
          <w:tcPr>
            <w:tcW w:w="0" w:type="auto"/>
          </w:tcPr>
          <w:p w14:paraId="24A002DE"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Indoor</w:t>
            </w:r>
          </w:p>
        </w:tc>
        <w:tc>
          <w:tcPr>
            <w:tcW w:w="1702" w:type="dxa"/>
          </w:tcPr>
          <w:p w14:paraId="299AD651"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Small home: all activities in one single room</w:t>
            </w:r>
          </w:p>
        </w:tc>
        <w:tc>
          <w:tcPr>
            <w:tcW w:w="1619" w:type="dxa"/>
          </w:tcPr>
          <w:p w14:paraId="341CA8D5"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The temperature is not very comfortable, particularly in the kitchen</w:t>
            </w:r>
          </w:p>
        </w:tc>
        <w:tc>
          <w:tcPr>
            <w:tcW w:w="0" w:type="auto"/>
          </w:tcPr>
          <w:p w14:paraId="4A85D130"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Lack of light. Bathrooms do not have windows</w:t>
            </w:r>
          </w:p>
        </w:tc>
        <w:tc>
          <w:tcPr>
            <w:tcW w:w="1669" w:type="dxa"/>
          </w:tcPr>
          <w:p w14:paraId="0AB7082A"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Temperature not very comfortable year-round</w:t>
            </w:r>
          </w:p>
        </w:tc>
      </w:tr>
      <w:tr w:rsidR="00EA189D" w:rsidRPr="00EB6B96" w14:paraId="23361E38" w14:textId="77777777" w:rsidTr="00E76C06">
        <w:trPr>
          <w:trHeight w:val="100"/>
          <w:jc w:val="center"/>
        </w:trPr>
        <w:tc>
          <w:tcPr>
            <w:tcW w:w="0" w:type="auto"/>
            <w:vMerge/>
          </w:tcPr>
          <w:p w14:paraId="47129871" w14:textId="77777777" w:rsidR="00EA189D" w:rsidRPr="00EB6B96" w:rsidRDefault="00EA189D" w:rsidP="006B6923">
            <w:pPr>
              <w:tabs>
                <w:tab w:val="left" w:pos="10080"/>
              </w:tabs>
              <w:ind w:right="-333"/>
              <w:rPr>
                <w:rFonts w:asciiTheme="minorHAnsi" w:hAnsiTheme="minorHAnsi" w:cstheme="minorHAnsi"/>
                <w:sz w:val="16"/>
                <w:szCs w:val="16"/>
              </w:rPr>
            </w:pPr>
          </w:p>
        </w:tc>
        <w:tc>
          <w:tcPr>
            <w:tcW w:w="0" w:type="auto"/>
          </w:tcPr>
          <w:p w14:paraId="2F6EF7FA"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Outdoor</w:t>
            </w:r>
          </w:p>
        </w:tc>
        <w:tc>
          <w:tcPr>
            <w:tcW w:w="1702" w:type="dxa"/>
          </w:tcPr>
          <w:p w14:paraId="4F2BEBE4"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No outdoor space</w:t>
            </w:r>
          </w:p>
        </w:tc>
        <w:tc>
          <w:tcPr>
            <w:tcW w:w="1619" w:type="dxa"/>
          </w:tcPr>
          <w:p w14:paraId="63055AE6" w14:textId="77777777" w:rsidR="00EA189D" w:rsidRPr="00EB6B96" w:rsidRDefault="00EA189D" w:rsidP="006B6923">
            <w:pPr>
              <w:tabs>
                <w:tab w:val="left" w:pos="10080"/>
              </w:tabs>
              <w:ind w:right="-333"/>
              <w:rPr>
                <w:rFonts w:asciiTheme="minorHAnsi" w:hAnsiTheme="minorHAnsi" w:cstheme="minorHAnsi"/>
                <w:sz w:val="16"/>
                <w:szCs w:val="16"/>
              </w:rPr>
            </w:pPr>
          </w:p>
        </w:tc>
        <w:tc>
          <w:tcPr>
            <w:tcW w:w="0" w:type="auto"/>
          </w:tcPr>
          <w:p w14:paraId="5F7D17EC" w14:textId="77777777" w:rsidR="00EA189D" w:rsidRPr="00EB6B96" w:rsidRDefault="00EA189D" w:rsidP="006B6923">
            <w:pPr>
              <w:tabs>
                <w:tab w:val="left" w:pos="10080"/>
              </w:tabs>
              <w:ind w:right="-333"/>
              <w:rPr>
                <w:rFonts w:asciiTheme="minorHAnsi" w:hAnsiTheme="minorHAnsi" w:cstheme="minorHAnsi"/>
                <w:sz w:val="16"/>
                <w:szCs w:val="16"/>
              </w:rPr>
            </w:pPr>
          </w:p>
        </w:tc>
        <w:tc>
          <w:tcPr>
            <w:tcW w:w="1669" w:type="dxa"/>
          </w:tcPr>
          <w:p w14:paraId="5D0BA7ED" w14:textId="77777777" w:rsidR="00EA189D" w:rsidRPr="00EB6B96" w:rsidRDefault="00EA189D" w:rsidP="006B6923">
            <w:pPr>
              <w:tabs>
                <w:tab w:val="left" w:pos="10080"/>
              </w:tabs>
              <w:ind w:right="-333"/>
              <w:rPr>
                <w:rFonts w:asciiTheme="minorHAnsi" w:hAnsiTheme="minorHAnsi" w:cstheme="minorHAnsi"/>
                <w:sz w:val="16"/>
                <w:szCs w:val="16"/>
              </w:rPr>
            </w:pPr>
          </w:p>
        </w:tc>
      </w:tr>
      <w:tr w:rsidR="00EA189D" w:rsidRPr="00EB6B96" w14:paraId="1E7E0826" w14:textId="77777777" w:rsidTr="00E76C06">
        <w:trPr>
          <w:trHeight w:val="100"/>
          <w:jc w:val="center"/>
        </w:trPr>
        <w:tc>
          <w:tcPr>
            <w:tcW w:w="0" w:type="auto"/>
            <w:vMerge w:val="restart"/>
          </w:tcPr>
          <w:p w14:paraId="6E320C21"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What aspects would you change of your home to make lockdown more bearable?</w:t>
            </w:r>
          </w:p>
        </w:tc>
        <w:tc>
          <w:tcPr>
            <w:tcW w:w="0" w:type="auto"/>
          </w:tcPr>
          <w:p w14:paraId="11083A43"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Indoor</w:t>
            </w:r>
          </w:p>
        </w:tc>
        <w:tc>
          <w:tcPr>
            <w:tcW w:w="1702" w:type="dxa"/>
          </w:tcPr>
          <w:p w14:paraId="03AFE1F4"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Would add another room or extend the existing one, to create another workspace (currently, both work in the same space and it is very inconvenient).</w:t>
            </w:r>
          </w:p>
          <w:p w14:paraId="0D7BF74E"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A larger kitchen</w:t>
            </w:r>
          </w:p>
        </w:tc>
        <w:tc>
          <w:tcPr>
            <w:tcW w:w="1619" w:type="dxa"/>
          </w:tcPr>
          <w:p w14:paraId="67CB1E83"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More natural light, to avoid feeling locked in</w:t>
            </w:r>
          </w:p>
        </w:tc>
        <w:tc>
          <w:tcPr>
            <w:tcW w:w="0" w:type="auto"/>
          </w:tcPr>
          <w:p w14:paraId="765E63C0"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Bathrooms with natural ventilation.</w:t>
            </w:r>
          </w:p>
          <w:p w14:paraId="1E25A6A0"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Combine the kitchen and living room to have one larger room</w:t>
            </w:r>
          </w:p>
        </w:tc>
        <w:tc>
          <w:tcPr>
            <w:tcW w:w="1669" w:type="dxa"/>
          </w:tcPr>
          <w:p w14:paraId="257614EE" w14:textId="77777777" w:rsidR="00EA189D" w:rsidRPr="00EB6B96" w:rsidRDefault="00EA189D" w:rsidP="006B6923">
            <w:pPr>
              <w:tabs>
                <w:tab w:val="left" w:pos="10080"/>
              </w:tabs>
              <w:ind w:right="-333"/>
              <w:rPr>
                <w:rFonts w:asciiTheme="minorHAnsi" w:hAnsiTheme="minorHAnsi" w:cstheme="minorHAnsi"/>
                <w:sz w:val="16"/>
                <w:szCs w:val="16"/>
              </w:rPr>
            </w:pPr>
          </w:p>
          <w:p w14:paraId="3E0DA8E8" w14:textId="77777777" w:rsidR="00EA189D" w:rsidRPr="00EB6B96" w:rsidRDefault="00EA189D" w:rsidP="006B6923">
            <w:pPr>
              <w:tabs>
                <w:tab w:val="left" w:pos="10080"/>
              </w:tabs>
              <w:ind w:right="-333"/>
              <w:rPr>
                <w:rFonts w:asciiTheme="minorHAnsi" w:hAnsiTheme="minorHAnsi" w:cstheme="minorHAnsi"/>
                <w:sz w:val="16"/>
                <w:szCs w:val="16"/>
              </w:rPr>
            </w:pPr>
          </w:p>
          <w:p w14:paraId="2D1599D5" w14:textId="77777777" w:rsidR="00EA189D" w:rsidRPr="00EB6B96" w:rsidRDefault="00EA189D" w:rsidP="006B6923">
            <w:pPr>
              <w:tabs>
                <w:tab w:val="left" w:pos="10080"/>
              </w:tabs>
              <w:ind w:right="-333"/>
              <w:rPr>
                <w:rFonts w:asciiTheme="minorHAnsi" w:hAnsiTheme="minorHAnsi" w:cstheme="minorHAnsi"/>
                <w:sz w:val="16"/>
                <w:szCs w:val="16"/>
              </w:rPr>
            </w:pPr>
          </w:p>
          <w:p w14:paraId="30BB5A25" w14:textId="77777777" w:rsidR="00EA189D" w:rsidRPr="00EB6B96" w:rsidRDefault="00EA189D" w:rsidP="006B6923">
            <w:pPr>
              <w:tabs>
                <w:tab w:val="left" w:pos="1440"/>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ab/>
            </w:r>
          </w:p>
        </w:tc>
      </w:tr>
      <w:tr w:rsidR="00EA189D" w:rsidRPr="00EB6B96" w14:paraId="3518DBD9" w14:textId="77777777" w:rsidTr="00E76C06">
        <w:trPr>
          <w:trHeight w:val="100"/>
          <w:jc w:val="center"/>
        </w:trPr>
        <w:tc>
          <w:tcPr>
            <w:tcW w:w="0" w:type="auto"/>
            <w:vMerge/>
          </w:tcPr>
          <w:p w14:paraId="640B50F3" w14:textId="77777777" w:rsidR="00EA189D" w:rsidRPr="00EB6B96" w:rsidRDefault="00EA189D" w:rsidP="006B6923">
            <w:pPr>
              <w:tabs>
                <w:tab w:val="left" w:pos="10080"/>
              </w:tabs>
              <w:ind w:right="-333"/>
              <w:rPr>
                <w:rFonts w:asciiTheme="minorHAnsi" w:hAnsiTheme="minorHAnsi" w:cstheme="minorHAnsi"/>
                <w:sz w:val="16"/>
                <w:szCs w:val="16"/>
              </w:rPr>
            </w:pPr>
          </w:p>
        </w:tc>
        <w:tc>
          <w:tcPr>
            <w:tcW w:w="0" w:type="auto"/>
          </w:tcPr>
          <w:p w14:paraId="212D6E7E"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Outdoor</w:t>
            </w:r>
          </w:p>
        </w:tc>
        <w:tc>
          <w:tcPr>
            <w:tcW w:w="1702" w:type="dxa"/>
          </w:tcPr>
          <w:p w14:paraId="66F4A70C"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Include an outdoor space to avoid feeling locked in</w:t>
            </w:r>
          </w:p>
        </w:tc>
        <w:tc>
          <w:tcPr>
            <w:tcW w:w="1619" w:type="dxa"/>
          </w:tcPr>
          <w:p w14:paraId="52B957F1"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Larger outdoor space on the terrace or on the roof of the building, large enough to exercise</w:t>
            </w:r>
          </w:p>
        </w:tc>
        <w:tc>
          <w:tcPr>
            <w:tcW w:w="0" w:type="auto"/>
          </w:tcPr>
          <w:p w14:paraId="2B6F9790"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Better distribution of the outdoor space for better use</w:t>
            </w:r>
          </w:p>
        </w:tc>
        <w:tc>
          <w:tcPr>
            <w:tcW w:w="1669" w:type="dxa"/>
          </w:tcPr>
          <w:p w14:paraId="73162F13" w14:textId="77777777" w:rsidR="00EA189D" w:rsidRPr="00EB6B96" w:rsidRDefault="00EA189D" w:rsidP="006B6923">
            <w:pPr>
              <w:tabs>
                <w:tab w:val="left" w:pos="10080"/>
              </w:tabs>
              <w:ind w:right="-333"/>
              <w:rPr>
                <w:rFonts w:asciiTheme="minorHAnsi" w:hAnsiTheme="minorHAnsi" w:cstheme="minorHAnsi"/>
                <w:sz w:val="16"/>
                <w:szCs w:val="16"/>
              </w:rPr>
            </w:pPr>
            <w:r w:rsidRPr="00EB6B96">
              <w:rPr>
                <w:rFonts w:asciiTheme="minorHAnsi" w:hAnsiTheme="minorHAnsi" w:cstheme="minorHAnsi"/>
                <w:sz w:val="16"/>
                <w:szCs w:val="16"/>
              </w:rPr>
              <w:t>More outdoor space, to be able to get fresh air or exercise outside</w:t>
            </w:r>
          </w:p>
        </w:tc>
      </w:tr>
    </w:tbl>
    <w:p w14:paraId="15B6D5B2" w14:textId="77777777" w:rsidR="00EA189D" w:rsidRPr="00EB6B96" w:rsidRDefault="00EA189D" w:rsidP="006B6923">
      <w:pPr>
        <w:tabs>
          <w:tab w:val="left" w:pos="10080"/>
        </w:tabs>
        <w:ind w:right="-333"/>
        <w:rPr>
          <w:rFonts w:asciiTheme="minorHAnsi" w:hAnsiTheme="minorHAnsi" w:cstheme="minorHAnsi"/>
        </w:rPr>
      </w:pPr>
    </w:p>
    <w:p w14:paraId="2230DA8B" w14:textId="07413280" w:rsidR="00EA189D" w:rsidRDefault="00EA189D" w:rsidP="006B6923">
      <w:pPr>
        <w:tabs>
          <w:tab w:val="left" w:pos="10080"/>
        </w:tabs>
        <w:ind w:right="-333"/>
        <w:rPr>
          <w:rFonts w:asciiTheme="minorHAnsi" w:hAnsiTheme="minorHAnsi" w:cstheme="minorHAnsi"/>
        </w:rPr>
      </w:pPr>
      <w:r w:rsidRPr="00EB6B96">
        <w:rPr>
          <w:rFonts w:asciiTheme="minorHAnsi" w:hAnsiTheme="minorHAnsi" w:cstheme="minorHAnsi"/>
        </w:rPr>
        <w:t xml:space="preserve">  and built environment for their users. Local governance, authorities and political leaders should attempt to improve visual quality, urban health and vitality </w:t>
      </w:r>
      <w:r w:rsidR="00013AF8">
        <w:rPr>
          <w:rFonts w:asciiTheme="minorHAnsi" w:hAnsiTheme="minorHAnsi" w:cstheme="minorHAnsi"/>
        </w:rPr>
        <w:t>through</w:t>
      </w:r>
      <w:r w:rsidRPr="00EB6B96">
        <w:rPr>
          <w:rFonts w:asciiTheme="minorHAnsi" w:hAnsiTheme="minorHAnsi" w:cstheme="minorHAnsi"/>
        </w:rPr>
        <w:t xml:space="preserve"> responsive and various long-term services. </w:t>
      </w:r>
    </w:p>
    <w:p w14:paraId="0AA5B654" w14:textId="77777777" w:rsidR="00AC282B" w:rsidRDefault="00AC282B" w:rsidP="006B6923">
      <w:pPr>
        <w:tabs>
          <w:tab w:val="left" w:pos="10080"/>
        </w:tabs>
        <w:ind w:right="-333"/>
        <w:rPr>
          <w:rFonts w:asciiTheme="minorHAnsi" w:hAnsiTheme="minorHAnsi" w:cstheme="minorHAnsi"/>
        </w:rPr>
      </w:pPr>
    </w:p>
    <w:p w14:paraId="499C4A1B" w14:textId="6A5819E1" w:rsidR="00AC282B" w:rsidRDefault="00AC282B" w:rsidP="00AC282B">
      <w:pPr>
        <w:tabs>
          <w:tab w:val="left" w:pos="10080"/>
        </w:tabs>
        <w:ind w:right="-333"/>
        <w:rPr>
          <w:rFonts w:asciiTheme="minorHAnsi" w:hAnsiTheme="minorHAnsi" w:cstheme="minorHAnsi"/>
        </w:rPr>
      </w:pPr>
      <w:r>
        <w:rPr>
          <w:rFonts w:asciiTheme="minorHAnsi" w:hAnsiTheme="minorHAnsi" w:cstheme="minorHAnsi"/>
        </w:rPr>
        <w:t>Suggested structure for your full paper (optional):</w:t>
      </w:r>
    </w:p>
    <w:p w14:paraId="304BD9F2" w14:textId="27B20C8C" w:rsidR="00AC282B" w:rsidRDefault="00AC282B" w:rsidP="006B6923">
      <w:pPr>
        <w:tabs>
          <w:tab w:val="left" w:pos="10080"/>
        </w:tabs>
        <w:ind w:right="-333"/>
        <w:rPr>
          <w:rFonts w:asciiTheme="minorHAnsi" w:hAnsiTheme="minorHAnsi" w:cstheme="minorHAnsi"/>
        </w:rPr>
      </w:pPr>
      <w:r>
        <w:rPr>
          <w:rFonts w:asciiTheme="minorHAnsi" w:hAnsiTheme="minorHAnsi" w:cstheme="minorHAnsi"/>
        </w:rPr>
        <w:t>Abstract</w:t>
      </w:r>
    </w:p>
    <w:p w14:paraId="04E0A14F" w14:textId="0303FD06" w:rsidR="00AC282B" w:rsidRPr="00AC282B" w:rsidRDefault="00AC282B" w:rsidP="00AC282B">
      <w:pPr>
        <w:spacing w:after="160" w:line="259" w:lineRule="auto"/>
        <w:jc w:val="left"/>
        <w:rPr>
          <w:rFonts w:cs="Arial"/>
          <w:lang w:val="en-US"/>
        </w:rPr>
      </w:pPr>
      <w:r w:rsidRPr="00AC282B">
        <w:rPr>
          <w:rFonts w:cs="Arial"/>
          <w:lang w:val="en-US"/>
        </w:rPr>
        <w:t>1.</w:t>
      </w:r>
      <w:r w:rsidR="00013AF8">
        <w:rPr>
          <w:rFonts w:cs="Arial"/>
          <w:lang w:val="en-US"/>
        </w:rPr>
        <w:t xml:space="preserve"> </w:t>
      </w:r>
      <w:r w:rsidRPr="00AC282B">
        <w:rPr>
          <w:rFonts w:cs="Arial"/>
          <w:lang w:val="en-US"/>
        </w:rPr>
        <w:t>Introduction</w:t>
      </w:r>
      <w:r w:rsidRPr="00AC282B">
        <w:rPr>
          <w:rFonts w:cs="Arial"/>
          <w:lang w:val="en-US"/>
        </w:rPr>
        <w:br/>
        <w:t>1.1 Background and Context</w:t>
      </w:r>
      <w:r w:rsidRPr="00AC282B">
        <w:rPr>
          <w:rFonts w:cs="Arial"/>
          <w:lang w:val="en-US"/>
        </w:rPr>
        <w:br/>
        <w:t>1.2 Problem Statement and Research Gap</w:t>
      </w:r>
      <w:r w:rsidRPr="00AC282B">
        <w:rPr>
          <w:rFonts w:cs="Arial"/>
          <w:lang w:val="en-US"/>
        </w:rPr>
        <w:br/>
        <w:t>1.3 Objectives and Hypotheses</w:t>
      </w:r>
      <w:r w:rsidRPr="00AC282B">
        <w:rPr>
          <w:rFonts w:cs="Arial"/>
          <w:lang w:val="en-US"/>
        </w:rPr>
        <w:br/>
        <w:t>1.4 Significance and Structure of the Paper</w:t>
      </w:r>
    </w:p>
    <w:p w14:paraId="3899029B" w14:textId="77777777" w:rsidR="00AC282B" w:rsidRPr="00AC282B" w:rsidRDefault="00AC282B" w:rsidP="00AC282B">
      <w:pPr>
        <w:spacing w:after="160" w:line="259" w:lineRule="auto"/>
        <w:jc w:val="left"/>
        <w:rPr>
          <w:rFonts w:cs="Arial"/>
          <w:lang w:val="en-US"/>
        </w:rPr>
      </w:pPr>
      <w:r w:rsidRPr="00AC282B">
        <w:rPr>
          <w:rFonts w:cs="Arial"/>
          <w:lang w:val="en-US"/>
        </w:rPr>
        <w:t>2. Materials and Methods</w:t>
      </w:r>
      <w:r w:rsidRPr="00AC282B">
        <w:rPr>
          <w:rFonts w:cs="Arial"/>
          <w:lang w:val="en-US"/>
        </w:rPr>
        <w:br/>
        <w:t>2.1 Study Design and Setting</w:t>
      </w:r>
      <w:r w:rsidRPr="00AC282B">
        <w:rPr>
          <w:rFonts w:cs="Arial"/>
          <w:lang w:val="en-US"/>
        </w:rPr>
        <w:br/>
        <w:t>2.2 Participants or Subjects</w:t>
      </w:r>
      <w:r w:rsidRPr="00AC282B">
        <w:rPr>
          <w:rFonts w:cs="Arial"/>
          <w:lang w:val="en-US"/>
        </w:rPr>
        <w:br/>
        <w:t>2.3 Materials and Equipment</w:t>
      </w:r>
      <w:r w:rsidRPr="00AC282B">
        <w:rPr>
          <w:rFonts w:cs="Arial"/>
          <w:lang w:val="en-US"/>
        </w:rPr>
        <w:br/>
        <w:t>2.4 Procedures and Protocols</w:t>
      </w:r>
      <w:r w:rsidRPr="00AC282B">
        <w:rPr>
          <w:rFonts w:cs="Arial"/>
          <w:lang w:val="en-US"/>
        </w:rPr>
        <w:br/>
        <w:t>2.5 Data Analysis</w:t>
      </w:r>
    </w:p>
    <w:p w14:paraId="6105C2E8" w14:textId="77777777" w:rsidR="00AC282B" w:rsidRPr="00AC282B" w:rsidRDefault="00AC282B" w:rsidP="00AC282B">
      <w:pPr>
        <w:spacing w:after="160" w:line="259" w:lineRule="auto"/>
        <w:jc w:val="left"/>
        <w:rPr>
          <w:rFonts w:cs="Arial"/>
          <w:lang w:val="en-US"/>
        </w:rPr>
      </w:pPr>
      <w:r w:rsidRPr="00AC282B">
        <w:rPr>
          <w:rFonts w:cs="Arial"/>
          <w:lang w:val="en-US"/>
        </w:rPr>
        <w:t>3.  Results</w:t>
      </w:r>
      <w:r w:rsidRPr="00AC282B">
        <w:rPr>
          <w:rFonts w:cs="Arial"/>
          <w:lang w:val="en-US"/>
        </w:rPr>
        <w:br/>
        <w:t>3.1 Presentation of Key Findings</w:t>
      </w:r>
      <w:r w:rsidRPr="00AC282B">
        <w:rPr>
          <w:rFonts w:cs="Arial"/>
          <w:lang w:val="en-US"/>
        </w:rPr>
        <w:br/>
        <w:t>3.2 Use of Tables and Figures</w:t>
      </w:r>
      <w:r w:rsidRPr="00AC282B">
        <w:rPr>
          <w:rFonts w:cs="Arial"/>
          <w:lang w:val="en-US"/>
        </w:rPr>
        <w:br/>
      </w:r>
      <w:r w:rsidRPr="00AC282B">
        <w:rPr>
          <w:rFonts w:cs="Arial"/>
          <w:lang w:val="en-US"/>
        </w:rPr>
        <w:lastRenderedPageBreak/>
        <w:t>3.3 Statistical Analysis</w:t>
      </w:r>
      <w:r w:rsidRPr="00AC282B">
        <w:rPr>
          <w:rFonts w:cs="Arial"/>
          <w:lang w:val="en-US"/>
        </w:rPr>
        <w:br/>
        <w:t>3.4 Subsections for Different Types of Data</w:t>
      </w:r>
    </w:p>
    <w:p w14:paraId="35132CE0" w14:textId="77777777" w:rsidR="00AC282B" w:rsidRPr="00AC282B" w:rsidRDefault="00AC282B" w:rsidP="00AC282B">
      <w:pPr>
        <w:spacing w:after="160" w:line="259" w:lineRule="auto"/>
        <w:jc w:val="left"/>
        <w:rPr>
          <w:rFonts w:cs="Arial"/>
          <w:lang w:val="en-US"/>
        </w:rPr>
      </w:pPr>
      <w:r w:rsidRPr="00AC282B">
        <w:rPr>
          <w:rFonts w:cs="Arial"/>
          <w:lang w:val="en-US"/>
        </w:rPr>
        <w:t>4. Discussion</w:t>
      </w:r>
      <w:r w:rsidRPr="00AC282B">
        <w:rPr>
          <w:rFonts w:cs="Arial"/>
          <w:lang w:val="en-US"/>
        </w:rPr>
        <w:br/>
        <w:t>4.1 Interpretation of Key Findings</w:t>
      </w:r>
      <w:r w:rsidRPr="00AC282B">
        <w:rPr>
          <w:rFonts w:cs="Arial"/>
          <w:lang w:val="en-US"/>
        </w:rPr>
        <w:br/>
        <w:t>4.2 Comparison with Previous Studies</w:t>
      </w:r>
      <w:r w:rsidRPr="00AC282B">
        <w:rPr>
          <w:rFonts w:cs="Arial"/>
          <w:lang w:val="en-US"/>
        </w:rPr>
        <w:br/>
        <w:t>4.3 Strengths and Limitations</w:t>
      </w:r>
      <w:r w:rsidRPr="00AC282B">
        <w:rPr>
          <w:rFonts w:cs="Arial"/>
          <w:lang w:val="en-US"/>
        </w:rPr>
        <w:br/>
        <w:t>4.4 Implications and Future Directions</w:t>
      </w:r>
    </w:p>
    <w:p w14:paraId="13771CD0" w14:textId="18EE346D" w:rsidR="00AC282B" w:rsidRPr="00AC282B" w:rsidRDefault="00AC282B" w:rsidP="00AC282B">
      <w:pPr>
        <w:spacing w:after="160" w:line="259" w:lineRule="auto"/>
        <w:jc w:val="left"/>
        <w:rPr>
          <w:rFonts w:cs="Arial"/>
          <w:lang w:val="en-US"/>
        </w:rPr>
      </w:pPr>
      <w:r w:rsidRPr="00AC282B">
        <w:rPr>
          <w:rFonts w:cs="Arial"/>
          <w:lang w:val="en-US"/>
        </w:rPr>
        <w:t>5. Conclusion</w:t>
      </w:r>
      <w:r w:rsidRPr="00AC282B">
        <w:rPr>
          <w:rFonts w:cs="Arial"/>
          <w:lang w:val="en-US"/>
        </w:rPr>
        <w:br/>
        <w:t>5.1 Summary of Key Findings</w:t>
      </w:r>
      <w:r w:rsidRPr="00AC282B">
        <w:rPr>
          <w:rFonts w:cs="Arial"/>
          <w:lang w:val="en-US"/>
        </w:rPr>
        <w:br/>
        <w:t>5.2 Implications of the Findings</w:t>
      </w:r>
      <w:r w:rsidRPr="00AC282B">
        <w:rPr>
          <w:rFonts w:cs="Arial"/>
          <w:lang w:val="en-US"/>
        </w:rPr>
        <w:br/>
        <w:t>5.3 Limitations of the Study</w:t>
      </w:r>
      <w:r w:rsidRPr="00AC282B">
        <w:rPr>
          <w:rFonts w:cs="Arial"/>
          <w:lang w:val="en-US"/>
        </w:rPr>
        <w:br/>
        <w:t>5.4 Recommendations for Future Research</w:t>
      </w:r>
    </w:p>
    <w:p w14:paraId="1C37E39F" w14:textId="50E5B497" w:rsidR="00EA189D" w:rsidRPr="00EB6B96" w:rsidRDefault="008E13A4" w:rsidP="00AC282B">
      <w:pPr>
        <w:tabs>
          <w:tab w:val="left" w:pos="10080"/>
        </w:tabs>
        <w:ind w:right="-333"/>
        <w:rPr>
          <w:rFonts w:asciiTheme="minorHAnsi" w:hAnsiTheme="minorHAnsi" w:cstheme="minorHAnsi"/>
          <w:b/>
          <w:lang w:val="en-US" w:eastAsia="fr-FR"/>
        </w:rPr>
      </w:pPr>
      <w:r>
        <w:rPr>
          <w:rFonts w:asciiTheme="minorHAnsi" w:hAnsiTheme="minorHAnsi" w:cstheme="minorHAnsi"/>
        </w:rPr>
        <w:t xml:space="preserve"> </w:t>
      </w:r>
      <w:r w:rsidR="00EA189D" w:rsidRPr="00EB6B96">
        <w:rPr>
          <w:rFonts w:asciiTheme="minorHAnsi" w:hAnsiTheme="minorHAnsi" w:cstheme="minorHAnsi"/>
        </w:rPr>
        <w:t xml:space="preserve"> </w:t>
      </w:r>
      <w:r w:rsidR="00EA189D" w:rsidRPr="00EB6B96">
        <w:rPr>
          <w:rFonts w:asciiTheme="minorHAnsi" w:hAnsiTheme="minorHAnsi" w:cstheme="minorHAnsi"/>
          <w:b/>
          <w:lang w:val="en-US" w:eastAsia="fr-FR"/>
        </w:rPr>
        <w:t>4. Discussion</w:t>
      </w:r>
      <w:r w:rsidR="00EA189D">
        <w:rPr>
          <w:rFonts w:asciiTheme="minorHAnsi" w:hAnsiTheme="minorHAnsi" w:cstheme="minorHAnsi"/>
          <w:b/>
          <w:lang w:val="en-US" w:eastAsia="fr-FR"/>
        </w:rPr>
        <w:t>s</w:t>
      </w:r>
    </w:p>
    <w:p w14:paraId="2724116C" w14:textId="77777777" w:rsidR="00EA189D" w:rsidRPr="00EB6B96" w:rsidRDefault="00EA189D" w:rsidP="006B6923">
      <w:pPr>
        <w:pStyle w:val="NormalWeb"/>
        <w:shd w:val="clear" w:color="auto" w:fill="FFFFFF"/>
        <w:tabs>
          <w:tab w:val="left" w:pos="10080"/>
        </w:tabs>
        <w:spacing w:before="0" w:beforeAutospacing="0" w:after="0" w:afterAutospacing="0"/>
        <w:ind w:right="-333"/>
        <w:jc w:val="both"/>
        <w:rPr>
          <w:rFonts w:asciiTheme="minorHAnsi" w:hAnsiTheme="minorHAnsi" w:cstheme="minorHAnsi"/>
          <w:bCs/>
          <w:sz w:val="20"/>
          <w:szCs w:val="20"/>
          <w:lang w:eastAsia="fr-FR"/>
        </w:rPr>
      </w:pPr>
      <w:r w:rsidRPr="00EB6B96">
        <w:rPr>
          <w:rFonts w:asciiTheme="minorHAnsi" w:hAnsiTheme="minorHAnsi" w:cstheme="minorHAnsi"/>
          <w:bCs/>
          <w:sz w:val="20"/>
          <w:szCs w:val="20"/>
          <w:lang w:eastAsia="fr-FR"/>
        </w:rPr>
        <w:t>The Discussion section of a scientific article is where the authors interpret and explain the results of their study in the context of the existing literature. This section should also provide conclusions and recommendations for future research. Here are some key considerations for writing the Discussion section:</w:t>
      </w:r>
    </w:p>
    <w:p w14:paraId="2DBD1ABA" w14:textId="77777777" w:rsidR="00EA189D" w:rsidRPr="00EB6B96" w:rsidRDefault="00EA189D" w:rsidP="006B6923">
      <w:pPr>
        <w:pStyle w:val="NormalWeb"/>
        <w:numPr>
          <w:ilvl w:val="0"/>
          <w:numId w:val="8"/>
        </w:numPr>
        <w:shd w:val="clear" w:color="auto" w:fill="FFFFFF"/>
        <w:tabs>
          <w:tab w:val="left" w:pos="10080"/>
        </w:tabs>
        <w:spacing w:before="0" w:beforeAutospacing="0" w:after="0" w:afterAutospacing="0"/>
        <w:ind w:right="-333"/>
        <w:jc w:val="both"/>
        <w:rPr>
          <w:rFonts w:asciiTheme="minorHAnsi" w:hAnsiTheme="minorHAnsi" w:cstheme="minorHAnsi"/>
          <w:bCs/>
          <w:sz w:val="20"/>
          <w:szCs w:val="20"/>
          <w:lang w:eastAsia="fr-FR"/>
        </w:rPr>
      </w:pPr>
      <w:r w:rsidRPr="00EB6B96">
        <w:rPr>
          <w:rFonts w:asciiTheme="minorHAnsi" w:hAnsiTheme="minorHAnsi" w:cstheme="minorHAnsi"/>
          <w:bCs/>
          <w:sz w:val="20"/>
          <w:szCs w:val="20"/>
          <w:lang w:eastAsia="fr-FR"/>
        </w:rPr>
        <w:t>Interpretation of results: Provide a clear and concise interpretation of the results, explaining how they relate to the research question or hypothesis. This could involve comparing and contrasting the results with previous research or discussing their practical implications.</w:t>
      </w:r>
    </w:p>
    <w:p w14:paraId="4AB717C7" w14:textId="77777777" w:rsidR="00EA189D" w:rsidRPr="00EB6B96" w:rsidRDefault="00EA189D" w:rsidP="006B6923">
      <w:pPr>
        <w:pStyle w:val="NormalWeb"/>
        <w:numPr>
          <w:ilvl w:val="0"/>
          <w:numId w:val="8"/>
        </w:numPr>
        <w:shd w:val="clear" w:color="auto" w:fill="FFFFFF"/>
        <w:tabs>
          <w:tab w:val="left" w:pos="10080"/>
        </w:tabs>
        <w:spacing w:before="0" w:beforeAutospacing="0" w:after="0" w:afterAutospacing="0"/>
        <w:ind w:right="-333"/>
        <w:jc w:val="both"/>
        <w:rPr>
          <w:rFonts w:asciiTheme="minorHAnsi" w:hAnsiTheme="minorHAnsi" w:cstheme="minorHAnsi"/>
          <w:bCs/>
          <w:sz w:val="20"/>
          <w:szCs w:val="20"/>
          <w:lang w:eastAsia="fr-FR"/>
        </w:rPr>
      </w:pPr>
      <w:r w:rsidRPr="00EB6B96">
        <w:rPr>
          <w:rFonts w:asciiTheme="minorHAnsi" w:hAnsiTheme="minorHAnsi" w:cstheme="minorHAnsi"/>
          <w:bCs/>
          <w:sz w:val="20"/>
          <w:szCs w:val="20"/>
          <w:lang w:eastAsia="fr-FR"/>
        </w:rPr>
        <w:t>Comparison with literature: Compare the results with the existing literature, discussing similarities and differences with previous research findings.</w:t>
      </w:r>
    </w:p>
    <w:p w14:paraId="6D180EB3" w14:textId="77777777" w:rsidR="00EA189D" w:rsidRPr="00EB6B96" w:rsidRDefault="00EA189D" w:rsidP="006B6923">
      <w:pPr>
        <w:pStyle w:val="NormalWeb"/>
        <w:numPr>
          <w:ilvl w:val="0"/>
          <w:numId w:val="8"/>
        </w:numPr>
        <w:shd w:val="clear" w:color="auto" w:fill="FFFFFF"/>
        <w:tabs>
          <w:tab w:val="left" w:pos="10080"/>
        </w:tabs>
        <w:spacing w:before="0" w:beforeAutospacing="0" w:after="0" w:afterAutospacing="0"/>
        <w:ind w:right="-333"/>
        <w:jc w:val="both"/>
        <w:rPr>
          <w:rFonts w:asciiTheme="minorHAnsi" w:hAnsiTheme="minorHAnsi" w:cstheme="minorHAnsi"/>
          <w:bCs/>
          <w:sz w:val="20"/>
          <w:szCs w:val="20"/>
          <w:lang w:eastAsia="fr-FR"/>
        </w:rPr>
      </w:pPr>
      <w:r w:rsidRPr="00EB6B96">
        <w:rPr>
          <w:rFonts w:asciiTheme="minorHAnsi" w:hAnsiTheme="minorHAnsi" w:cstheme="minorHAnsi"/>
          <w:bCs/>
          <w:sz w:val="20"/>
          <w:szCs w:val="20"/>
          <w:lang w:eastAsia="fr-FR"/>
        </w:rPr>
        <w:t>Limitations: Acknowledge any limitations or potential sources of bias in the study, and discuss how they may have influenced the results.</w:t>
      </w:r>
    </w:p>
    <w:p w14:paraId="4EF8C7F6" w14:textId="77777777" w:rsidR="00EA189D" w:rsidRPr="00EB6B96" w:rsidRDefault="00EA189D" w:rsidP="006B6923">
      <w:pPr>
        <w:pStyle w:val="NormalWeb"/>
        <w:numPr>
          <w:ilvl w:val="0"/>
          <w:numId w:val="8"/>
        </w:numPr>
        <w:shd w:val="clear" w:color="auto" w:fill="FFFFFF"/>
        <w:tabs>
          <w:tab w:val="left" w:pos="10080"/>
        </w:tabs>
        <w:spacing w:before="0" w:beforeAutospacing="0" w:after="0" w:afterAutospacing="0"/>
        <w:ind w:right="-333"/>
        <w:jc w:val="both"/>
        <w:rPr>
          <w:rFonts w:asciiTheme="minorHAnsi" w:hAnsiTheme="minorHAnsi" w:cstheme="minorHAnsi"/>
          <w:bCs/>
          <w:sz w:val="20"/>
          <w:szCs w:val="20"/>
          <w:lang w:eastAsia="fr-FR"/>
        </w:rPr>
      </w:pPr>
      <w:r w:rsidRPr="00EB6B96">
        <w:rPr>
          <w:rFonts w:asciiTheme="minorHAnsi" w:hAnsiTheme="minorHAnsi" w:cstheme="minorHAnsi"/>
          <w:bCs/>
          <w:sz w:val="20"/>
          <w:szCs w:val="20"/>
          <w:lang w:eastAsia="fr-FR"/>
        </w:rPr>
        <w:t>Implications and recommendations: Discuss the implications of the results for theory, practice, or policy. Provide recommendations for future research or interventions.</w:t>
      </w:r>
    </w:p>
    <w:p w14:paraId="391C079A" w14:textId="77777777" w:rsidR="00EA189D" w:rsidRPr="00EB6B96" w:rsidRDefault="00EA189D" w:rsidP="006B6923">
      <w:pPr>
        <w:pStyle w:val="NormalWeb"/>
        <w:numPr>
          <w:ilvl w:val="0"/>
          <w:numId w:val="8"/>
        </w:numPr>
        <w:shd w:val="clear" w:color="auto" w:fill="FFFFFF"/>
        <w:tabs>
          <w:tab w:val="left" w:pos="10080"/>
        </w:tabs>
        <w:spacing w:before="0" w:beforeAutospacing="0" w:after="0" w:afterAutospacing="0"/>
        <w:ind w:right="-333"/>
        <w:jc w:val="both"/>
        <w:rPr>
          <w:rFonts w:asciiTheme="minorHAnsi" w:hAnsiTheme="minorHAnsi" w:cstheme="minorHAnsi"/>
          <w:bCs/>
          <w:sz w:val="20"/>
          <w:szCs w:val="20"/>
          <w:lang w:eastAsia="fr-FR"/>
        </w:rPr>
      </w:pPr>
      <w:r w:rsidRPr="00EB6B96">
        <w:rPr>
          <w:rFonts w:asciiTheme="minorHAnsi" w:hAnsiTheme="minorHAnsi" w:cstheme="minorHAnsi"/>
          <w:bCs/>
          <w:sz w:val="20"/>
          <w:szCs w:val="20"/>
          <w:lang w:eastAsia="fr-FR"/>
        </w:rPr>
        <w:t>Conclusions: Summarize the key findings of the study and draw conclusions based on the results.</w:t>
      </w:r>
    </w:p>
    <w:p w14:paraId="035C739E" w14:textId="77777777" w:rsidR="00EA189D" w:rsidRPr="00EB6B96" w:rsidRDefault="00EA189D" w:rsidP="006B6923">
      <w:pPr>
        <w:pStyle w:val="NormalWeb"/>
        <w:shd w:val="clear" w:color="auto" w:fill="FFFFFF"/>
        <w:tabs>
          <w:tab w:val="left" w:pos="10080"/>
        </w:tabs>
        <w:spacing w:before="0" w:beforeAutospacing="0" w:after="0" w:afterAutospacing="0"/>
        <w:ind w:right="-333"/>
        <w:jc w:val="both"/>
        <w:rPr>
          <w:rFonts w:asciiTheme="minorHAnsi" w:hAnsiTheme="minorHAnsi" w:cstheme="minorHAnsi"/>
          <w:bCs/>
          <w:sz w:val="20"/>
          <w:szCs w:val="20"/>
          <w:lang w:eastAsia="fr-FR"/>
        </w:rPr>
      </w:pPr>
      <w:r w:rsidRPr="00EB6B96">
        <w:rPr>
          <w:rFonts w:asciiTheme="minorHAnsi" w:hAnsiTheme="minorHAnsi" w:cstheme="minorHAnsi"/>
          <w:bCs/>
          <w:sz w:val="20"/>
          <w:szCs w:val="20"/>
          <w:lang w:eastAsia="fr-FR"/>
        </w:rPr>
        <w:t>It is important to remember that the Discussion section should be written in a clear and concise manner, using appropriate terminology and avoiding unsupported speculation or overgeneralization. The section should be organized in a logical manner that follows the flow of the study, with subsections as needed to break up the content. Finally, the section should be written in a way that adds value to the existing literature and provides insight into the research question or hypothesis.</w:t>
      </w:r>
    </w:p>
    <w:p w14:paraId="0CCC319E" w14:textId="77777777" w:rsidR="00EA189D" w:rsidRPr="00EB6B96" w:rsidRDefault="00EA189D" w:rsidP="006B6923">
      <w:pPr>
        <w:pStyle w:val="NormalWeb"/>
        <w:shd w:val="clear" w:color="auto" w:fill="FFFFFF"/>
        <w:tabs>
          <w:tab w:val="left" w:pos="10080"/>
        </w:tabs>
        <w:spacing w:before="0" w:beforeAutospacing="0" w:after="0" w:afterAutospacing="0"/>
        <w:ind w:right="-333"/>
        <w:jc w:val="both"/>
        <w:rPr>
          <w:rFonts w:asciiTheme="minorHAnsi" w:hAnsiTheme="minorHAnsi" w:cstheme="minorHAnsi"/>
          <w:sz w:val="20"/>
          <w:szCs w:val="20"/>
        </w:rPr>
      </w:pPr>
      <w:r w:rsidRPr="00EB6B96">
        <w:rPr>
          <w:rFonts w:asciiTheme="minorHAnsi" w:hAnsiTheme="minorHAnsi" w:cstheme="minorHAnsi"/>
          <w:bCs/>
          <w:sz w:val="20"/>
          <w:szCs w:val="20"/>
          <w:lang w:eastAsia="fr-FR"/>
        </w:rPr>
        <w:t xml:space="preserve">This should explore the significance of the results of the work, not repeat them. A combined Results and Discussion section is often appropriate. Avoid extensive citations and discussion of published literature. </w:t>
      </w:r>
      <w:r w:rsidRPr="00EB6B96">
        <w:rPr>
          <w:rFonts w:asciiTheme="minorHAnsi" w:hAnsiTheme="minorHAnsi" w:cstheme="minorHAnsi"/>
          <w:sz w:val="20"/>
          <w:szCs w:val="20"/>
        </w:rPr>
        <w:t>The function of this section is to analyze the data and relate them to other studies. To "analyze" means to evaluate the meaning of your results in terms of the original question or hypothesis and point out their biological significance. The Discussion should contain at least:</w:t>
      </w:r>
    </w:p>
    <w:p w14:paraId="10983D3D" w14:textId="77777777" w:rsidR="00EA189D" w:rsidRPr="00EB6B96" w:rsidRDefault="00EA189D" w:rsidP="006B6923">
      <w:pPr>
        <w:numPr>
          <w:ilvl w:val="0"/>
          <w:numId w:val="4"/>
        </w:numPr>
        <w:shd w:val="clear" w:color="auto" w:fill="FFFFFF"/>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the relationship between the results and the original hypothesis, i.e., whether they support the hypothesis, or cause it to be rejected or modified</w:t>
      </w:r>
    </w:p>
    <w:p w14:paraId="3B720189" w14:textId="77777777" w:rsidR="00EA189D" w:rsidRPr="00EB6B96" w:rsidRDefault="00EA189D" w:rsidP="006B6923">
      <w:pPr>
        <w:numPr>
          <w:ilvl w:val="0"/>
          <w:numId w:val="4"/>
        </w:numPr>
        <w:shd w:val="clear" w:color="auto" w:fill="FFFFFF"/>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an integration of your results with those of previous studies in order to arrive at explanations for the observed phenomena</w:t>
      </w:r>
    </w:p>
    <w:p w14:paraId="1FB1BD56" w14:textId="77777777" w:rsidR="00EA189D" w:rsidRPr="00EB6B96" w:rsidRDefault="00EA189D" w:rsidP="006B6923">
      <w:pPr>
        <w:numPr>
          <w:ilvl w:val="0"/>
          <w:numId w:val="4"/>
        </w:numPr>
        <w:shd w:val="clear" w:color="auto" w:fill="FFFFFF"/>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possible explanations for unexpected results and observations, phrased as hypotheses that can be tested by realistic experimental procedures, which you should describe.</w:t>
      </w:r>
    </w:p>
    <w:p w14:paraId="00B95A8C" w14:textId="77777777" w:rsidR="00EA189D" w:rsidRPr="00EB6B96" w:rsidRDefault="00EA189D" w:rsidP="006B6923">
      <w:pPr>
        <w:shd w:val="clear" w:color="auto" w:fill="FFFFFF"/>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b/>
          <w:bCs/>
          <w:lang w:val="en-US"/>
        </w:rPr>
        <w:t> </w:t>
      </w:r>
      <w:r w:rsidRPr="00EB6B96">
        <w:rPr>
          <w:rFonts w:asciiTheme="minorHAnsi" w:eastAsia="Times New Roman" w:hAnsiTheme="minorHAnsi" w:cstheme="minorHAnsi"/>
          <w:lang w:val="en-US"/>
        </w:rPr>
        <w:t>Trends that are not statistically significant can still be discussed if they are suggestive or interesting, but cannot be made the basis for conclusions as if they were significant.</w:t>
      </w:r>
    </w:p>
    <w:p w14:paraId="61D35937" w14:textId="77777777" w:rsidR="00EA189D" w:rsidRPr="00EB6B96" w:rsidRDefault="00EA189D" w:rsidP="006B6923">
      <w:pPr>
        <w:shd w:val="clear" w:color="auto" w:fill="FFFFFF"/>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Avoid redundancy between the Results and the Discussion section. Do not repeat detailed descriptions of the data and results in the Discussion.  End the Discussion with a summary of the principal points you want the reader to remember. </w:t>
      </w:r>
    </w:p>
    <w:p w14:paraId="04128135" w14:textId="77777777" w:rsidR="00EA189D" w:rsidRPr="00EB6B96" w:rsidRDefault="00EA189D" w:rsidP="006B6923">
      <w:pPr>
        <w:shd w:val="clear" w:color="auto" w:fill="FFFFFF"/>
        <w:tabs>
          <w:tab w:val="left" w:pos="10080"/>
        </w:tabs>
        <w:ind w:right="-333"/>
        <w:rPr>
          <w:rFonts w:asciiTheme="minorHAnsi" w:eastAsia="Times New Roman" w:hAnsiTheme="minorHAnsi" w:cstheme="minorHAnsi"/>
          <w:lang w:val="en-US"/>
        </w:rPr>
      </w:pPr>
    </w:p>
    <w:p w14:paraId="54F36E3F" w14:textId="77777777" w:rsidR="00EA189D" w:rsidRPr="00EB6B96" w:rsidRDefault="00EA189D" w:rsidP="006B6923">
      <w:pPr>
        <w:pStyle w:val="Heading2"/>
        <w:tabs>
          <w:tab w:val="left" w:pos="10080"/>
        </w:tabs>
        <w:spacing w:before="0"/>
        <w:ind w:right="-333"/>
        <w:rPr>
          <w:rFonts w:asciiTheme="minorHAnsi" w:hAnsiTheme="minorHAnsi" w:cstheme="minorHAnsi"/>
          <w:szCs w:val="20"/>
        </w:rPr>
      </w:pPr>
      <w:r w:rsidRPr="00EB6B96">
        <w:rPr>
          <w:rFonts w:asciiTheme="minorHAnsi" w:hAnsiTheme="minorHAnsi" w:cstheme="minorHAnsi"/>
          <w:szCs w:val="20"/>
        </w:rPr>
        <w:t>5. Conclusions</w:t>
      </w:r>
    </w:p>
    <w:p w14:paraId="19D9563C" w14:textId="77777777" w:rsidR="00EA189D" w:rsidRPr="00EB6B96" w:rsidRDefault="00EA189D" w:rsidP="006B6923">
      <w:pPr>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The Conclusions section of a scientific article is where the authors summarize the main findings of the study and provide a final statement about the significance of the research. Here are some key considerations for writing the Conclusions section:</w:t>
      </w:r>
    </w:p>
    <w:p w14:paraId="41CDEC20" w14:textId="77777777" w:rsidR="00EA189D" w:rsidRPr="00EB6B96" w:rsidRDefault="00EA189D" w:rsidP="006B6923">
      <w:pPr>
        <w:numPr>
          <w:ilvl w:val="0"/>
          <w:numId w:val="9"/>
        </w:numPr>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Summarize the main findings: Briefly summarize the key findings of the study in a concise and clear manner.</w:t>
      </w:r>
    </w:p>
    <w:p w14:paraId="13E86789" w14:textId="77777777" w:rsidR="00EA189D" w:rsidRPr="00EB6B96" w:rsidRDefault="00EA189D" w:rsidP="006B6923">
      <w:pPr>
        <w:numPr>
          <w:ilvl w:val="0"/>
          <w:numId w:val="9"/>
        </w:numPr>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Restate the research question or hypothesis: Restate the research question or hypothesis and explain how the findings answer or address it.</w:t>
      </w:r>
    </w:p>
    <w:p w14:paraId="55D8B96D" w14:textId="77777777" w:rsidR="00EA189D" w:rsidRPr="00EB6B96" w:rsidRDefault="00EA189D" w:rsidP="006B6923">
      <w:pPr>
        <w:numPr>
          <w:ilvl w:val="0"/>
          <w:numId w:val="9"/>
        </w:numPr>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lastRenderedPageBreak/>
        <w:t>Discuss the significance of the findings: Discuss the importance of the findings for the field of study and their implications for theory, practice, or policy.</w:t>
      </w:r>
    </w:p>
    <w:p w14:paraId="764E6F73" w14:textId="77777777" w:rsidR="00EA189D" w:rsidRPr="00EB6B96" w:rsidRDefault="00EA189D" w:rsidP="006B6923">
      <w:pPr>
        <w:numPr>
          <w:ilvl w:val="0"/>
          <w:numId w:val="9"/>
        </w:numPr>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Address the limitations of the study: Acknowledge any limitations or potential sources of bias in the study, and discuss how they may have influenced the results.</w:t>
      </w:r>
    </w:p>
    <w:p w14:paraId="3A167B59" w14:textId="77777777" w:rsidR="00EA189D" w:rsidRPr="00EB6B96" w:rsidRDefault="00EA189D" w:rsidP="006B6923">
      <w:pPr>
        <w:numPr>
          <w:ilvl w:val="0"/>
          <w:numId w:val="9"/>
        </w:numPr>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Provide recommendations for future research: Provide recommendations for future research based on the limitations of the study and the gaps in the existing literature.</w:t>
      </w:r>
    </w:p>
    <w:p w14:paraId="0B86E6D1" w14:textId="77777777" w:rsidR="00EA189D" w:rsidRPr="00EB6B96" w:rsidRDefault="00EA189D" w:rsidP="006B6923">
      <w:pPr>
        <w:tabs>
          <w:tab w:val="left" w:pos="10080"/>
        </w:tabs>
        <w:ind w:right="-333"/>
        <w:rPr>
          <w:rFonts w:asciiTheme="minorHAnsi" w:eastAsia="Times New Roman" w:hAnsiTheme="minorHAnsi" w:cstheme="minorHAnsi"/>
          <w:lang w:val="en-US"/>
        </w:rPr>
      </w:pPr>
      <w:r w:rsidRPr="00EB6B96">
        <w:rPr>
          <w:rFonts w:asciiTheme="minorHAnsi" w:eastAsia="Times New Roman" w:hAnsiTheme="minorHAnsi" w:cstheme="minorHAnsi"/>
          <w:lang w:val="en-US"/>
        </w:rPr>
        <w:t>It is important to remember that the Conclusions section should be written in a clear and concise manner, using appropriate terminology and avoiding unsupported speculation or overgeneralization. The section should be organized in a logical manner that follows the flow of the study, with subsections as needed to break up the content. Finally, the section should provide a clear and final statement about the significance of the research and its contribution to the field.</w:t>
      </w:r>
    </w:p>
    <w:p w14:paraId="51519F77" w14:textId="77777777" w:rsidR="00EA189D" w:rsidRPr="00EB6B96" w:rsidRDefault="00EA189D" w:rsidP="006B6923">
      <w:pPr>
        <w:tabs>
          <w:tab w:val="left" w:pos="10080"/>
        </w:tabs>
        <w:ind w:right="-333"/>
        <w:rPr>
          <w:rFonts w:asciiTheme="minorHAnsi" w:eastAsia="Times New Roman" w:hAnsiTheme="minorHAnsi" w:cstheme="minorHAnsi"/>
          <w:lang w:val="en-US"/>
        </w:rPr>
      </w:pPr>
    </w:p>
    <w:p w14:paraId="435F7345" w14:textId="77777777" w:rsidR="00EA189D" w:rsidRPr="00B37B42" w:rsidRDefault="00EA189D" w:rsidP="006B6923">
      <w:pPr>
        <w:tabs>
          <w:tab w:val="left" w:pos="10080"/>
        </w:tabs>
        <w:ind w:right="-333"/>
        <w:rPr>
          <w:rFonts w:asciiTheme="minorHAnsi" w:hAnsiTheme="minorHAnsi" w:cstheme="minorHAnsi"/>
          <w:b/>
          <w:bCs/>
          <w:color w:val="0070C0"/>
        </w:rPr>
      </w:pPr>
      <w:r w:rsidRPr="00B37B42">
        <w:rPr>
          <w:rFonts w:asciiTheme="minorHAnsi" w:hAnsiTheme="minorHAnsi" w:cstheme="minorHAnsi"/>
          <w:b/>
          <w:bCs/>
          <w:color w:val="0070C0"/>
        </w:rPr>
        <w:t>Acknowledgements</w:t>
      </w:r>
    </w:p>
    <w:p w14:paraId="3FD5EC24" w14:textId="77777777" w:rsidR="00EA189D" w:rsidRPr="00B37B42" w:rsidRDefault="00EA189D" w:rsidP="006B6923">
      <w:pPr>
        <w:pStyle w:val="NormalWeb"/>
        <w:tabs>
          <w:tab w:val="left" w:pos="10080"/>
        </w:tabs>
        <w:spacing w:before="0" w:beforeAutospacing="0" w:after="0" w:afterAutospacing="0"/>
        <w:ind w:right="-333"/>
        <w:jc w:val="both"/>
        <w:rPr>
          <w:rFonts w:asciiTheme="minorHAnsi" w:hAnsiTheme="minorHAnsi" w:cstheme="minorHAnsi"/>
          <w:color w:val="0070C0"/>
          <w:sz w:val="20"/>
          <w:szCs w:val="20"/>
        </w:rPr>
      </w:pPr>
      <w:r w:rsidRPr="00B37B42">
        <w:rPr>
          <w:rFonts w:asciiTheme="minorHAnsi" w:hAnsiTheme="minorHAnsi" w:cstheme="minorHAnsi"/>
          <w:color w:val="0070C0"/>
          <w:sz w:val="20"/>
          <w:szCs w:val="20"/>
        </w:rPr>
        <w:t>This research did not receive any specific grant from funding agencies in the public, commercial, or not-for-profit sectors.</w:t>
      </w:r>
    </w:p>
    <w:p w14:paraId="0CD10543" w14:textId="77777777" w:rsidR="00EA189D" w:rsidRPr="00B37B42" w:rsidRDefault="00EA189D" w:rsidP="006B6923">
      <w:pPr>
        <w:pStyle w:val="NormalWeb"/>
        <w:tabs>
          <w:tab w:val="left" w:pos="10080"/>
        </w:tabs>
        <w:spacing w:before="0" w:beforeAutospacing="0" w:after="0" w:afterAutospacing="0"/>
        <w:ind w:right="-333"/>
        <w:jc w:val="both"/>
        <w:rPr>
          <w:rFonts w:asciiTheme="minorHAnsi" w:hAnsiTheme="minorHAnsi" w:cstheme="minorHAnsi"/>
          <w:color w:val="0070C0"/>
          <w:sz w:val="20"/>
          <w:szCs w:val="20"/>
        </w:rPr>
      </w:pPr>
    </w:p>
    <w:p w14:paraId="49C38932" w14:textId="77777777" w:rsidR="00EA189D" w:rsidRPr="00B37B42" w:rsidRDefault="00EA189D" w:rsidP="006B6923">
      <w:pPr>
        <w:pStyle w:val="Heading2"/>
        <w:tabs>
          <w:tab w:val="left" w:pos="10080"/>
        </w:tabs>
        <w:spacing w:before="0"/>
        <w:ind w:right="-333"/>
        <w:rPr>
          <w:rFonts w:asciiTheme="minorHAnsi" w:hAnsiTheme="minorHAnsi" w:cstheme="minorHAnsi"/>
          <w:bCs/>
          <w:color w:val="0070C0"/>
        </w:rPr>
      </w:pPr>
      <w:r w:rsidRPr="00B37B42">
        <w:rPr>
          <w:rStyle w:val="Strong"/>
          <w:rFonts w:asciiTheme="minorHAnsi" w:hAnsiTheme="minorHAnsi" w:cstheme="minorHAnsi"/>
          <w:b/>
          <w:bCs w:val="0"/>
          <w:color w:val="0070C0"/>
          <w:szCs w:val="20"/>
        </w:rPr>
        <w:t>Conflict of Interests</w:t>
      </w:r>
    </w:p>
    <w:p w14:paraId="751DF62B" w14:textId="28CC4921" w:rsidR="00EA189D" w:rsidRDefault="008E13A4" w:rsidP="006B6923">
      <w:pPr>
        <w:pStyle w:val="NormalWeb"/>
        <w:tabs>
          <w:tab w:val="left" w:pos="10080"/>
        </w:tabs>
        <w:spacing w:before="0" w:beforeAutospacing="0" w:after="0" w:afterAutospacing="0"/>
        <w:ind w:right="-333"/>
        <w:jc w:val="both"/>
        <w:rPr>
          <w:rFonts w:asciiTheme="minorHAnsi" w:hAnsiTheme="minorHAnsi" w:cstheme="minorHAnsi"/>
          <w:color w:val="0070C0"/>
          <w:sz w:val="20"/>
          <w:szCs w:val="20"/>
        </w:rPr>
      </w:pPr>
      <w:r w:rsidRPr="008E13A4">
        <w:rPr>
          <w:rFonts w:asciiTheme="minorHAnsi" w:hAnsiTheme="minorHAnsi" w:cstheme="minorHAnsi"/>
          <w:color w:val="0070C0"/>
          <w:sz w:val="20"/>
          <w:szCs w:val="20"/>
        </w:rPr>
        <w:t xml:space="preserve">The Author(s) </w:t>
      </w:r>
      <w:proofErr w:type="gramStart"/>
      <w:r w:rsidRPr="008E13A4">
        <w:rPr>
          <w:rFonts w:asciiTheme="minorHAnsi" w:hAnsiTheme="minorHAnsi" w:cstheme="minorHAnsi"/>
          <w:color w:val="0070C0"/>
          <w:sz w:val="20"/>
          <w:szCs w:val="20"/>
        </w:rPr>
        <w:t>declare</w:t>
      </w:r>
      <w:proofErr w:type="gramEnd"/>
      <w:r w:rsidRPr="008E13A4">
        <w:rPr>
          <w:rFonts w:asciiTheme="minorHAnsi" w:hAnsiTheme="minorHAnsi" w:cstheme="minorHAnsi"/>
          <w:color w:val="0070C0"/>
          <w:sz w:val="20"/>
          <w:szCs w:val="20"/>
        </w:rPr>
        <w:t>(s) that there is no conflict of interest.</w:t>
      </w:r>
    </w:p>
    <w:p w14:paraId="63A8825D" w14:textId="77777777" w:rsidR="008E13A4" w:rsidRPr="00EB6B96" w:rsidRDefault="008E13A4" w:rsidP="006B6923">
      <w:pPr>
        <w:pStyle w:val="NormalWeb"/>
        <w:tabs>
          <w:tab w:val="left" w:pos="10080"/>
        </w:tabs>
        <w:spacing w:before="0" w:beforeAutospacing="0" w:after="0" w:afterAutospacing="0"/>
        <w:ind w:right="-333"/>
        <w:jc w:val="both"/>
        <w:rPr>
          <w:rFonts w:asciiTheme="minorHAnsi" w:hAnsiTheme="minorHAnsi" w:cstheme="minorHAnsi"/>
          <w:color w:val="000000" w:themeColor="text1"/>
          <w:sz w:val="20"/>
          <w:szCs w:val="20"/>
        </w:rPr>
      </w:pPr>
    </w:p>
    <w:p w14:paraId="1979CEA1" w14:textId="77777777" w:rsidR="00EA189D" w:rsidRPr="00EB6B96" w:rsidRDefault="00EA189D" w:rsidP="006B6923">
      <w:pPr>
        <w:pStyle w:val="Heading2"/>
        <w:tabs>
          <w:tab w:val="left" w:pos="10080"/>
        </w:tabs>
        <w:spacing w:before="0"/>
        <w:ind w:right="-333"/>
        <w:rPr>
          <w:rFonts w:asciiTheme="minorHAnsi" w:hAnsiTheme="minorHAnsi" w:cstheme="minorHAnsi"/>
        </w:rPr>
      </w:pPr>
      <w:r w:rsidRPr="00EB6B96">
        <w:rPr>
          <w:rFonts w:asciiTheme="minorHAnsi" w:hAnsiTheme="minorHAnsi" w:cstheme="minorHAnsi"/>
        </w:rPr>
        <w:t>References</w:t>
      </w:r>
    </w:p>
    <w:p w14:paraId="70F8A577"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4BACC6"/>
          <w:u w:val="single"/>
        </w:rPr>
      </w:pPr>
      <w:r w:rsidRPr="00EB6B96">
        <w:rPr>
          <w:rFonts w:asciiTheme="minorHAnsi" w:hAnsiTheme="minorHAnsi" w:cstheme="minorHAnsi"/>
          <w:color w:val="000000"/>
        </w:rPr>
        <w:t xml:space="preserve">Ahmed, B., Hasan, R., &amp; </w:t>
      </w:r>
      <w:proofErr w:type="spellStart"/>
      <w:r w:rsidRPr="00EB6B96">
        <w:rPr>
          <w:rFonts w:asciiTheme="minorHAnsi" w:hAnsiTheme="minorHAnsi" w:cstheme="minorHAnsi"/>
          <w:color w:val="000000"/>
        </w:rPr>
        <w:t>Maniruzzaman</w:t>
      </w:r>
      <w:proofErr w:type="spellEnd"/>
      <w:r w:rsidRPr="00EB6B96">
        <w:rPr>
          <w:rFonts w:asciiTheme="minorHAnsi" w:hAnsiTheme="minorHAnsi" w:cstheme="minorHAnsi"/>
          <w:color w:val="000000"/>
        </w:rPr>
        <w:t>, K. M. (2014). Urban morphological change analysis of Dhaka city, Bangladesh, using space syntax. </w:t>
      </w:r>
      <w:r w:rsidRPr="00EB6B96">
        <w:rPr>
          <w:rFonts w:asciiTheme="minorHAnsi" w:hAnsiTheme="minorHAnsi" w:cstheme="minorHAnsi"/>
          <w:i/>
          <w:color w:val="000000"/>
        </w:rPr>
        <w:t>ISPRS International Journal of Geo-Information, 3</w:t>
      </w:r>
      <w:r w:rsidRPr="00EB6B96">
        <w:rPr>
          <w:rFonts w:asciiTheme="minorHAnsi" w:hAnsiTheme="minorHAnsi" w:cstheme="minorHAnsi"/>
          <w:color w:val="000000"/>
        </w:rPr>
        <w:t xml:space="preserve">(4), 1412-1444. </w:t>
      </w:r>
      <w:r w:rsidRPr="00EB6B96">
        <w:rPr>
          <w:rFonts w:asciiTheme="minorHAnsi" w:hAnsiTheme="minorHAnsi" w:cstheme="minorHAnsi"/>
          <w:color w:val="4F81BD" w:themeColor="accent1"/>
        </w:rPr>
        <w:t>https://doi.org/10.3390/ijgi3041412</w:t>
      </w:r>
    </w:p>
    <w:p w14:paraId="0DF0C22A"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4BACC6"/>
          <w:u w:val="single"/>
        </w:rPr>
      </w:pPr>
      <w:r w:rsidRPr="00EB6B96">
        <w:rPr>
          <w:rFonts w:asciiTheme="minorHAnsi" w:hAnsiTheme="minorHAnsi" w:cstheme="minorHAnsi"/>
          <w:color w:val="000000"/>
        </w:rPr>
        <w:t xml:space="preserve">Alexander, I. (2000). The post-war city. In </w:t>
      </w:r>
      <w:r w:rsidRPr="00EB6B96">
        <w:rPr>
          <w:rFonts w:asciiTheme="minorHAnsi" w:hAnsiTheme="minorHAnsi" w:cstheme="minorHAnsi"/>
          <w:i/>
          <w:color w:val="000000"/>
        </w:rPr>
        <w:t xml:space="preserve">The Australian metropolis: a planning history </w:t>
      </w:r>
      <w:r w:rsidRPr="00EB6B96">
        <w:rPr>
          <w:rFonts w:asciiTheme="minorHAnsi" w:hAnsiTheme="minorHAnsi" w:cstheme="minorHAnsi"/>
          <w:color w:val="000000"/>
        </w:rPr>
        <w:t xml:space="preserve">(pp.98-112). New York, NY: </w:t>
      </w:r>
      <w:proofErr w:type="spellStart"/>
      <w:r w:rsidRPr="00EB6B96">
        <w:rPr>
          <w:rFonts w:asciiTheme="minorHAnsi" w:hAnsiTheme="minorHAnsi" w:cstheme="minorHAnsi"/>
          <w:color w:val="000000"/>
        </w:rPr>
        <w:t>Routlege</w:t>
      </w:r>
      <w:proofErr w:type="spellEnd"/>
      <w:r w:rsidRPr="00EB6B96">
        <w:rPr>
          <w:rFonts w:asciiTheme="minorHAnsi" w:hAnsiTheme="minorHAnsi" w:cstheme="minorHAnsi"/>
          <w:color w:val="000000"/>
        </w:rPr>
        <w:t xml:space="preserve">.   </w:t>
      </w:r>
    </w:p>
    <w:p w14:paraId="68558984"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FF"/>
          <w:u w:val="single"/>
        </w:rPr>
      </w:pPr>
      <w:r w:rsidRPr="00EB6B96">
        <w:rPr>
          <w:rFonts w:asciiTheme="minorHAnsi" w:hAnsiTheme="minorHAnsi" w:cstheme="minorHAnsi"/>
          <w:color w:val="000000"/>
        </w:rPr>
        <w:t>Bafna, S. (2003). Space syntax: A brief introduction to its logic and analytical techniques. </w:t>
      </w:r>
      <w:r w:rsidRPr="00EB6B96">
        <w:rPr>
          <w:rFonts w:asciiTheme="minorHAnsi" w:hAnsiTheme="minorHAnsi" w:cstheme="minorHAnsi"/>
          <w:i/>
          <w:color w:val="000000"/>
        </w:rPr>
        <w:t xml:space="preserve">Environment and </w:t>
      </w:r>
      <w:proofErr w:type="spellStart"/>
      <w:r w:rsidRPr="00EB6B96">
        <w:rPr>
          <w:rFonts w:asciiTheme="minorHAnsi" w:hAnsiTheme="minorHAnsi" w:cstheme="minorHAnsi"/>
          <w:i/>
          <w:color w:val="000000"/>
        </w:rPr>
        <w:t>Behavior</w:t>
      </w:r>
      <w:proofErr w:type="spellEnd"/>
      <w:r w:rsidRPr="00EB6B96">
        <w:rPr>
          <w:rFonts w:asciiTheme="minorHAnsi" w:hAnsiTheme="minorHAnsi" w:cstheme="minorHAnsi"/>
          <w:color w:val="000000"/>
        </w:rPr>
        <w:t>, </w:t>
      </w:r>
      <w:r w:rsidRPr="00EB6B96">
        <w:rPr>
          <w:rFonts w:asciiTheme="minorHAnsi" w:hAnsiTheme="minorHAnsi" w:cstheme="minorHAnsi"/>
          <w:i/>
          <w:color w:val="000000"/>
        </w:rPr>
        <w:t>35</w:t>
      </w:r>
      <w:r w:rsidRPr="00EB6B96">
        <w:rPr>
          <w:rFonts w:asciiTheme="minorHAnsi" w:hAnsiTheme="minorHAnsi" w:cstheme="minorHAnsi"/>
          <w:color w:val="000000"/>
        </w:rPr>
        <w:t xml:space="preserve">(1), 17-29. </w:t>
      </w:r>
      <w:r w:rsidRPr="00EB6B96">
        <w:rPr>
          <w:rFonts w:asciiTheme="minorHAnsi" w:hAnsiTheme="minorHAnsi" w:cstheme="minorHAnsi"/>
          <w:color w:val="4F81BD" w:themeColor="accent1"/>
        </w:rPr>
        <w:t>https://doi.org/10.1177/0013916502238863</w:t>
      </w:r>
      <w:r w:rsidRPr="00EB6B96">
        <w:rPr>
          <w:rFonts w:asciiTheme="minorHAnsi" w:hAnsiTheme="minorHAnsi" w:cstheme="minorHAnsi"/>
          <w:color w:val="4F81BD" w:themeColor="accent1"/>
          <w:u w:val="single"/>
        </w:rPr>
        <w:t xml:space="preserve"> </w:t>
      </w:r>
    </w:p>
    <w:p w14:paraId="34897900"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4BACC6"/>
          <w:u w:val="single"/>
        </w:rPr>
      </w:pPr>
      <w:r w:rsidRPr="00EB6B96">
        <w:rPr>
          <w:rFonts w:asciiTheme="minorHAnsi" w:hAnsiTheme="minorHAnsi" w:cstheme="minorHAnsi"/>
          <w:color w:val="000000"/>
        </w:rPr>
        <w:t xml:space="preserve">Bishop, R., Clancey, G. (2008). The </w:t>
      </w:r>
      <w:proofErr w:type="gramStart"/>
      <w:r w:rsidRPr="00EB6B96">
        <w:rPr>
          <w:rFonts w:asciiTheme="minorHAnsi" w:hAnsiTheme="minorHAnsi" w:cstheme="minorHAnsi"/>
          <w:color w:val="000000"/>
        </w:rPr>
        <w:t>City</w:t>
      </w:r>
      <w:proofErr w:type="gramEnd"/>
      <w:r w:rsidRPr="00EB6B96">
        <w:rPr>
          <w:rFonts w:asciiTheme="minorHAnsi" w:hAnsiTheme="minorHAnsi" w:cstheme="minorHAnsi"/>
          <w:color w:val="000000"/>
        </w:rPr>
        <w:t xml:space="preserve">-as-Target, or Perpetuation and Death. In </w:t>
      </w:r>
      <w:r w:rsidRPr="00EB6B96">
        <w:rPr>
          <w:rFonts w:asciiTheme="minorHAnsi" w:hAnsiTheme="minorHAnsi" w:cstheme="minorHAnsi"/>
          <w:i/>
          <w:color w:val="000000"/>
        </w:rPr>
        <w:t>Cities, War, and Terrorism: Towards an Urban Geopolitics</w:t>
      </w:r>
      <w:r w:rsidRPr="00EB6B96">
        <w:rPr>
          <w:rFonts w:asciiTheme="minorHAnsi" w:hAnsiTheme="minorHAnsi" w:cstheme="minorHAnsi"/>
          <w:color w:val="000000"/>
        </w:rPr>
        <w:t xml:space="preserve"> (pp. 54–74). </w:t>
      </w:r>
      <w:r w:rsidRPr="00DD4C0E">
        <w:rPr>
          <w:rFonts w:asciiTheme="minorHAnsi" w:hAnsiTheme="minorHAnsi" w:cstheme="minorHAnsi"/>
          <w:color w:val="000000"/>
          <w:lang w:val="de-DE"/>
        </w:rPr>
        <w:t xml:space="preserve">Malden, MA: Blackwell Publishing. Brakman, S., Garretsen, H., Schramm, M. (2004). </w:t>
      </w:r>
      <w:r w:rsidRPr="00EB6B96">
        <w:rPr>
          <w:rFonts w:asciiTheme="minorHAnsi" w:hAnsiTheme="minorHAnsi" w:cstheme="minorHAnsi"/>
          <w:color w:val="000000"/>
        </w:rPr>
        <w:t xml:space="preserve">The strategic bombing of German cities during World War II and its impact on city growth. </w:t>
      </w:r>
      <w:r w:rsidRPr="00EB6B96">
        <w:rPr>
          <w:rFonts w:asciiTheme="minorHAnsi" w:hAnsiTheme="minorHAnsi" w:cstheme="minorHAnsi"/>
          <w:i/>
          <w:color w:val="000000"/>
        </w:rPr>
        <w:t>Journal of Economic Geography, 4</w:t>
      </w:r>
      <w:r w:rsidRPr="00EB6B96">
        <w:rPr>
          <w:rFonts w:asciiTheme="minorHAnsi" w:hAnsiTheme="minorHAnsi" w:cstheme="minorHAnsi"/>
          <w:color w:val="000000"/>
        </w:rPr>
        <w:t xml:space="preserve">(2), 201-218. </w:t>
      </w:r>
      <w:r w:rsidRPr="00EB6B96">
        <w:rPr>
          <w:rFonts w:asciiTheme="minorHAnsi" w:hAnsiTheme="minorHAnsi" w:cstheme="minorHAnsi"/>
          <w:color w:val="4F81BD" w:themeColor="accent1"/>
        </w:rPr>
        <w:t>https://doi.org/10.1093/jeg/4.2.201</w:t>
      </w:r>
    </w:p>
    <w:p w14:paraId="18F3CBFF"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Henriot, C. (2006). Shanghai and the experience of war: The fate of refugees. </w:t>
      </w:r>
      <w:r w:rsidRPr="00EB6B96">
        <w:rPr>
          <w:rFonts w:asciiTheme="minorHAnsi" w:hAnsiTheme="minorHAnsi" w:cstheme="minorHAnsi"/>
          <w:i/>
          <w:color w:val="000000"/>
        </w:rPr>
        <w:t>European Journal of East Asian Studies</w:t>
      </w:r>
      <w:r w:rsidRPr="00EB6B96">
        <w:rPr>
          <w:rFonts w:asciiTheme="minorHAnsi" w:hAnsiTheme="minorHAnsi" w:cstheme="minorHAnsi"/>
          <w:color w:val="000000"/>
        </w:rPr>
        <w:t>, </w:t>
      </w:r>
      <w:r w:rsidRPr="00EB6B96">
        <w:rPr>
          <w:rFonts w:asciiTheme="minorHAnsi" w:hAnsiTheme="minorHAnsi" w:cstheme="minorHAnsi"/>
          <w:i/>
          <w:color w:val="000000"/>
        </w:rPr>
        <w:t>5</w:t>
      </w:r>
      <w:r w:rsidRPr="00EB6B96">
        <w:rPr>
          <w:rFonts w:asciiTheme="minorHAnsi" w:hAnsiTheme="minorHAnsi" w:cstheme="minorHAnsi"/>
          <w:color w:val="000000"/>
        </w:rPr>
        <w:t xml:space="preserve">(2), 215-245. </w:t>
      </w:r>
      <w:r w:rsidRPr="00EB6B96">
        <w:rPr>
          <w:rFonts w:asciiTheme="minorHAnsi" w:hAnsiTheme="minorHAnsi" w:cstheme="minorHAnsi"/>
          <w:color w:val="4F81BD" w:themeColor="accent1"/>
        </w:rPr>
        <w:t>https://doi.org/10.1163/157006106778869306</w:t>
      </w:r>
    </w:p>
    <w:p w14:paraId="5BE5A4B1" w14:textId="77777777" w:rsidR="00EA189D" w:rsidRPr="00DD4C0E"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lang w:val="de-DE"/>
        </w:rPr>
      </w:pPr>
      <w:r w:rsidRPr="00EB6B96">
        <w:rPr>
          <w:rFonts w:asciiTheme="minorHAnsi" w:hAnsiTheme="minorHAnsi" w:cstheme="minorHAnsi"/>
          <w:color w:val="000000"/>
        </w:rPr>
        <w:t xml:space="preserve">Wesseling, H.L. (1989). Colonial wars: An introduction. In </w:t>
      </w:r>
      <w:r w:rsidRPr="00EB6B96">
        <w:rPr>
          <w:rFonts w:asciiTheme="minorHAnsi" w:hAnsiTheme="minorHAnsi" w:cstheme="minorHAnsi"/>
          <w:i/>
          <w:color w:val="000000"/>
        </w:rPr>
        <w:t>Imperialism and War: Essays on Colonial Wars in Asia and Africa</w:t>
      </w:r>
      <w:r w:rsidRPr="00EB6B96">
        <w:rPr>
          <w:rFonts w:asciiTheme="minorHAnsi" w:hAnsiTheme="minorHAnsi" w:cstheme="minorHAnsi"/>
          <w:color w:val="000000"/>
        </w:rPr>
        <w:t xml:space="preserve"> (pp.1-11). </w:t>
      </w:r>
      <w:r w:rsidRPr="00DD4C0E">
        <w:rPr>
          <w:rFonts w:asciiTheme="minorHAnsi" w:hAnsiTheme="minorHAnsi" w:cstheme="minorHAnsi"/>
          <w:color w:val="000000"/>
          <w:lang w:val="de-DE"/>
        </w:rPr>
        <w:t xml:space="preserve">Leiden, The Netherlands: E.J. Brill: Universitaire pers Leide. </w:t>
      </w:r>
    </w:p>
    <w:p w14:paraId="13EBF6D7"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DD4C0E">
        <w:rPr>
          <w:rFonts w:asciiTheme="minorHAnsi" w:hAnsiTheme="minorHAnsi" w:cstheme="minorHAnsi"/>
          <w:color w:val="000000"/>
          <w:lang w:val="de-DE"/>
        </w:rPr>
        <w:t xml:space="preserve">Diefendorf, J.M. (1993). </w:t>
      </w:r>
      <w:r w:rsidRPr="00EB6B96">
        <w:rPr>
          <w:rFonts w:asciiTheme="minorHAnsi" w:hAnsiTheme="minorHAnsi" w:cstheme="minorHAnsi"/>
          <w:i/>
          <w:color w:val="000000"/>
        </w:rPr>
        <w:t>In the wake of war: the reconstruction of German cities after World War II</w:t>
      </w:r>
      <w:r w:rsidRPr="00EB6B96">
        <w:rPr>
          <w:rFonts w:asciiTheme="minorHAnsi" w:hAnsiTheme="minorHAnsi" w:cstheme="minorHAnsi"/>
          <w:color w:val="000000"/>
        </w:rPr>
        <w:t xml:space="preserve">. New York, NY: Oxford University Press. ISBN: 0195072197. </w:t>
      </w:r>
      <w:r w:rsidRPr="00EB6B96">
        <w:rPr>
          <w:rFonts w:asciiTheme="minorHAnsi" w:hAnsiTheme="minorHAnsi" w:cstheme="minorHAnsi"/>
          <w:color w:val="4BACC6"/>
          <w:u w:val="single"/>
        </w:rPr>
        <w:t>https://doi.org/10.1080/03612759.1994.9949002</w:t>
      </w:r>
    </w:p>
    <w:p w14:paraId="5E695618"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Froy, F.E. (2016). Understanding the spatial organisation of economic activities in early 19th century Antwerp. </w:t>
      </w:r>
      <w:r w:rsidRPr="00EB6B96">
        <w:rPr>
          <w:rFonts w:asciiTheme="minorHAnsi" w:hAnsiTheme="minorHAnsi" w:cstheme="minorHAnsi"/>
          <w:i/>
          <w:color w:val="000000"/>
        </w:rPr>
        <w:t>The Journal of Space Syntax, 6</w:t>
      </w:r>
      <w:r w:rsidRPr="00EB6B96">
        <w:rPr>
          <w:rFonts w:asciiTheme="minorHAnsi" w:hAnsiTheme="minorHAnsi" w:cstheme="minorHAnsi"/>
          <w:color w:val="000000"/>
        </w:rPr>
        <w:t xml:space="preserve">(2), 225-246. </w:t>
      </w:r>
      <w:r w:rsidRPr="00EB6B96">
        <w:rPr>
          <w:rFonts w:asciiTheme="minorHAnsi" w:hAnsiTheme="minorHAnsi" w:cstheme="minorHAnsi"/>
          <w:color w:val="4F81BD" w:themeColor="accent1"/>
        </w:rPr>
        <w:t>http://joss.bartlett.ucl.ac.uk/journal/index.php/joss/article/view/287/pdf</w:t>
      </w:r>
    </w:p>
    <w:p w14:paraId="0A18B535"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Gaubatz, P. (1999). China’s urban transformation: patterns and processes of morphological change in Beijing, Shanghai and Guangzhou. </w:t>
      </w:r>
      <w:r w:rsidRPr="00EB6B96">
        <w:rPr>
          <w:rFonts w:asciiTheme="minorHAnsi" w:hAnsiTheme="minorHAnsi" w:cstheme="minorHAnsi"/>
          <w:i/>
          <w:color w:val="000000"/>
        </w:rPr>
        <w:t>Urban studies, 36</w:t>
      </w:r>
      <w:r w:rsidRPr="00EB6B96">
        <w:rPr>
          <w:rFonts w:asciiTheme="minorHAnsi" w:hAnsiTheme="minorHAnsi" w:cstheme="minorHAnsi"/>
          <w:color w:val="000000"/>
        </w:rPr>
        <w:t>(9), 1495-1521. https://doi.org/10.1080/0042098992890</w:t>
      </w:r>
    </w:p>
    <w:p w14:paraId="70EC679A"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FF"/>
          <w:u w:val="single"/>
        </w:rPr>
      </w:pPr>
      <w:r w:rsidRPr="00EB6B96">
        <w:rPr>
          <w:rFonts w:asciiTheme="minorHAnsi" w:hAnsiTheme="minorHAnsi" w:cstheme="minorHAnsi"/>
          <w:color w:val="000000"/>
        </w:rPr>
        <w:t>Giannopoulou, M., Roukounis, Y., &amp; Stefanis, V. (2012). Traffic network and the urban environment: an adapted space syntax approach. </w:t>
      </w:r>
      <w:r w:rsidRPr="00EB6B96">
        <w:rPr>
          <w:rFonts w:asciiTheme="minorHAnsi" w:hAnsiTheme="minorHAnsi" w:cstheme="minorHAnsi"/>
          <w:i/>
          <w:color w:val="000000"/>
        </w:rPr>
        <w:t xml:space="preserve">Procedia-Social and </w:t>
      </w:r>
      <w:proofErr w:type="spellStart"/>
      <w:r w:rsidRPr="00EB6B96">
        <w:rPr>
          <w:rFonts w:asciiTheme="minorHAnsi" w:hAnsiTheme="minorHAnsi" w:cstheme="minorHAnsi"/>
          <w:i/>
          <w:color w:val="000000"/>
        </w:rPr>
        <w:t>Behavioral</w:t>
      </w:r>
      <w:proofErr w:type="spellEnd"/>
      <w:r w:rsidRPr="00EB6B96">
        <w:rPr>
          <w:rFonts w:asciiTheme="minorHAnsi" w:hAnsiTheme="minorHAnsi" w:cstheme="minorHAnsi"/>
          <w:i/>
          <w:color w:val="000000"/>
        </w:rPr>
        <w:t xml:space="preserve"> Sciences</w:t>
      </w:r>
      <w:r w:rsidRPr="00EB6B96">
        <w:rPr>
          <w:rFonts w:asciiTheme="minorHAnsi" w:hAnsiTheme="minorHAnsi" w:cstheme="minorHAnsi"/>
          <w:color w:val="000000"/>
        </w:rPr>
        <w:t>, </w:t>
      </w:r>
      <w:r w:rsidRPr="00EB6B96">
        <w:rPr>
          <w:rFonts w:asciiTheme="minorHAnsi" w:hAnsiTheme="minorHAnsi" w:cstheme="minorHAnsi"/>
          <w:i/>
          <w:color w:val="000000"/>
        </w:rPr>
        <w:t>48</w:t>
      </w:r>
      <w:r w:rsidRPr="00EB6B96">
        <w:rPr>
          <w:rFonts w:asciiTheme="minorHAnsi" w:hAnsiTheme="minorHAnsi" w:cstheme="minorHAnsi"/>
          <w:color w:val="000000"/>
        </w:rPr>
        <w:t xml:space="preserve">, 1887-1896. </w:t>
      </w:r>
      <w:r w:rsidRPr="00EB6B96">
        <w:rPr>
          <w:rFonts w:asciiTheme="minorHAnsi" w:hAnsiTheme="minorHAnsi" w:cstheme="minorHAnsi"/>
          <w:color w:val="4F81BD" w:themeColor="accent1"/>
        </w:rPr>
        <w:t>https://doi.org/10.1016/j.sbspro.2012.06.1163</w:t>
      </w:r>
    </w:p>
    <w:p w14:paraId="384F6560"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FF"/>
          <w:u w:val="single"/>
        </w:rPr>
      </w:pPr>
      <w:r w:rsidRPr="00EB6B96">
        <w:rPr>
          <w:rFonts w:asciiTheme="minorHAnsi" w:hAnsiTheme="minorHAnsi" w:cstheme="minorHAnsi"/>
          <w:color w:val="000000"/>
        </w:rPr>
        <w:t xml:space="preserve">Glaeser, E.L., Shapiro, J.M. (2002). Cities and Warfare: The Impact of Terrorism on Urban Form. </w:t>
      </w:r>
      <w:r w:rsidRPr="00EB6B96">
        <w:rPr>
          <w:rFonts w:asciiTheme="minorHAnsi" w:hAnsiTheme="minorHAnsi" w:cstheme="minorHAnsi"/>
          <w:i/>
          <w:color w:val="000000"/>
        </w:rPr>
        <w:t>Journal of Urban Economics, 51</w:t>
      </w:r>
      <w:r w:rsidRPr="00EB6B96">
        <w:rPr>
          <w:rFonts w:asciiTheme="minorHAnsi" w:hAnsiTheme="minorHAnsi" w:cstheme="minorHAnsi"/>
          <w:color w:val="000000"/>
        </w:rPr>
        <w:t xml:space="preserve">(2), 205-224. </w:t>
      </w:r>
      <w:r w:rsidRPr="00EB6B96">
        <w:rPr>
          <w:rFonts w:asciiTheme="minorHAnsi" w:hAnsiTheme="minorHAnsi" w:cstheme="minorHAnsi"/>
          <w:color w:val="4F81BD" w:themeColor="accent1"/>
        </w:rPr>
        <w:t>https://doi.org/10.1006/juec.2001.2262</w:t>
      </w:r>
    </w:p>
    <w:p w14:paraId="58F0D30A"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Graham, S. (2004). Introduction: Cities, Warfare, and States of Emergency, Cities as Strategic Sites: Place Annihilation and Urban Geopolitics. In </w:t>
      </w:r>
      <w:r w:rsidRPr="00EB6B96">
        <w:rPr>
          <w:rFonts w:asciiTheme="minorHAnsi" w:hAnsiTheme="minorHAnsi" w:cstheme="minorHAnsi"/>
          <w:i/>
          <w:color w:val="000000"/>
        </w:rPr>
        <w:t xml:space="preserve">Cities, War and Terrorism: Towards an Urban Geopolitics </w:t>
      </w:r>
      <w:r w:rsidRPr="00EB6B96">
        <w:rPr>
          <w:rFonts w:asciiTheme="minorHAnsi" w:hAnsiTheme="minorHAnsi" w:cstheme="minorHAnsi"/>
          <w:color w:val="000000"/>
        </w:rPr>
        <w:t xml:space="preserve">(pp. 1-25 and 31-54). Malden, MA: Blackwell Publishing. </w:t>
      </w:r>
    </w:p>
    <w:p w14:paraId="29DD0532"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Griffiths, S. (2012, January). The use of space syntax in historical research: current practice and future possibilities. In </w:t>
      </w:r>
      <w:r w:rsidRPr="00EB6B96">
        <w:rPr>
          <w:rFonts w:asciiTheme="minorHAnsi" w:hAnsiTheme="minorHAnsi" w:cstheme="minorHAnsi"/>
          <w:i/>
          <w:color w:val="000000"/>
        </w:rPr>
        <w:t>Proceedings of the Eighth International Space Syntax Symposium</w:t>
      </w:r>
      <w:r w:rsidRPr="00EB6B96">
        <w:rPr>
          <w:rFonts w:asciiTheme="minorHAnsi" w:hAnsiTheme="minorHAnsi" w:cstheme="minorHAnsi"/>
          <w:color w:val="000000"/>
        </w:rPr>
        <w:t> (pp. 1-26). http://sss8.cl/8193.pdf</w:t>
      </w:r>
    </w:p>
    <w:p w14:paraId="1F1D0B7C"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Griffiths, S. (2011). Temporality in Hillier and Hanson's theory of spatial description: Some implications of historical research for space syntax. </w:t>
      </w:r>
      <w:r w:rsidRPr="00EB6B96">
        <w:rPr>
          <w:rFonts w:asciiTheme="minorHAnsi" w:hAnsiTheme="minorHAnsi" w:cstheme="minorHAnsi"/>
          <w:i/>
          <w:color w:val="000000"/>
        </w:rPr>
        <w:t>The Journal of Space Syntax</w:t>
      </w:r>
      <w:r w:rsidRPr="00EB6B96">
        <w:rPr>
          <w:rFonts w:asciiTheme="minorHAnsi" w:hAnsiTheme="minorHAnsi" w:cstheme="minorHAnsi"/>
          <w:color w:val="000000"/>
        </w:rPr>
        <w:t>, </w:t>
      </w:r>
      <w:r w:rsidRPr="00EB6B96">
        <w:rPr>
          <w:rFonts w:asciiTheme="minorHAnsi" w:hAnsiTheme="minorHAnsi" w:cstheme="minorHAnsi"/>
          <w:i/>
          <w:color w:val="000000"/>
        </w:rPr>
        <w:t>2</w:t>
      </w:r>
      <w:r w:rsidRPr="00EB6B96">
        <w:rPr>
          <w:rFonts w:asciiTheme="minorHAnsi" w:hAnsiTheme="minorHAnsi" w:cstheme="minorHAnsi"/>
          <w:color w:val="000000"/>
        </w:rPr>
        <w:t xml:space="preserve">(1), 73-96. </w:t>
      </w:r>
      <w:r w:rsidRPr="00EB6B96">
        <w:rPr>
          <w:rFonts w:asciiTheme="minorHAnsi" w:hAnsiTheme="minorHAnsi" w:cstheme="minorHAnsi"/>
          <w:color w:val="4F81BD" w:themeColor="accent1"/>
        </w:rPr>
        <w:t>http://128.40.150.106/joss/index.php/joss/article/view/58/pdf_38</w:t>
      </w:r>
    </w:p>
    <w:p w14:paraId="384E4FFE"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Haar, C. M. (1955). In accordance with a comprehensive plan. </w:t>
      </w:r>
      <w:r w:rsidRPr="00EB6B96">
        <w:rPr>
          <w:rFonts w:asciiTheme="minorHAnsi" w:hAnsiTheme="minorHAnsi" w:cstheme="minorHAnsi"/>
          <w:i/>
          <w:color w:val="000000"/>
        </w:rPr>
        <w:t>Harvard Law Review</w:t>
      </w:r>
      <w:r w:rsidRPr="00EB6B96">
        <w:rPr>
          <w:rFonts w:asciiTheme="minorHAnsi" w:hAnsiTheme="minorHAnsi" w:cstheme="minorHAnsi"/>
          <w:color w:val="000000"/>
        </w:rPr>
        <w:t>, </w:t>
      </w:r>
      <w:r w:rsidRPr="00EB6B96">
        <w:rPr>
          <w:rFonts w:asciiTheme="minorHAnsi" w:hAnsiTheme="minorHAnsi" w:cstheme="minorHAnsi"/>
          <w:i/>
          <w:color w:val="000000"/>
        </w:rPr>
        <w:t>68</w:t>
      </w:r>
      <w:r w:rsidRPr="00EB6B96">
        <w:rPr>
          <w:rFonts w:asciiTheme="minorHAnsi" w:hAnsiTheme="minorHAnsi" w:cstheme="minorHAnsi"/>
          <w:color w:val="000000"/>
        </w:rPr>
        <w:t xml:space="preserve">(7), 1154-1175. </w:t>
      </w:r>
      <w:r w:rsidRPr="00EB6B96">
        <w:rPr>
          <w:rFonts w:asciiTheme="minorHAnsi" w:hAnsiTheme="minorHAnsi" w:cstheme="minorHAnsi"/>
          <w:color w:val="4BACC6"/>
        </w:rPr>
        <w:t xml:space="preserve">DOI: </w:t>
      </w:r>
      <w:r w:rsidRPr="00EB6B96">
        <w:rPr>
          <w:rFonts w:asciiTheme="minorHAnsi" w:hAnsiTheme="minorHAnsi" w:cstheme="minorHAnsi"/>
          <w:color w:val="4F81BD" w:themeColor="accent1"/>
        </w:rPr>
        <w:t>http://doi.org/10.2307/1337692</w:t>
      </w:r>
    </w:p>
    <w:p w14:paraId="2F5F82BD"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lastRenderedPageBreak/>
        <w:t>Hardy, D. (1989). War, planning and social change: The example of the garden city campaign, 1914–1918. </w:t>
      </w:r>
      <w:r w:rsidRPr="00EB6B96">
        <w:rPr>
          <w:rFonts w:asciiTheme="minorHAnsi" w:hAnsiTheme="minorHAnsi" w:cstheme="minorHAnsi"/>
          <w:i/>
          <w:color w:val="000000"/>
        </w:rPr>
        <w:t>Planning Perspective</w:t>
      </w:r>
      <w:r w:rsidRPr="00EB6B96">
        <w:rPr>
          <w:rFonts w:asciiTheme="minorHAnsi" w:hAnsiTheme="minorHAnsi" w:cstheme="minorHAnsi"/>
          <w:color w:val="000000"/>
        </w:rPr>
        <w:t>, </w:t>
      </w:r>
      <w:r w:rsidRPr="00EB6B96">
        <w:rPr>
          <w:rFonts w:asciiTheme="minorHAnsi" w:hAnsiTheme="minorHAnsi" w:cstheme="minorHAnsi"/>
          <w:i/>
          <w:color w:val="000000"/>
        </w:rPr>
        <w:t>4</w:t>
      </w:r>
      <w:r w:rsidRPr="00EB6B96">
        <w:rPr>
          <w:rFonts w:asciiTheme="minorHAnsi" w:hAnsiTheme="minorHAnsi" w:cstheme="minorHAnsi"/>
          <w:color w:val="000000"/>
        </w:rPr>
        <w:t xml:space="preserve">(2), 187-205. </w:t>
      </w:r>
      <w:r w:rsidRPr="00EB6B96">
        <w:rPr>
          <w:rFonts w:asciiTheme="minorHAnsi" w:hAnsiTheme="minorHAnsi" w:cstheme="minorHAnsi"/>
          <w:color w:val="4BACC6"/>
          <w:u w:val="single"/>
        </w:rPr>
        <w:t>https://doi.org/10.1080/02665438908725679</w:t>
      </w:r>
    </w:p>
    <w:p w14:paraId="7E2760BA"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FF"/>
          <w:u w:val="single"/>
        </w:rPr>
      </w:pPr>
      <w:r w:rsidRPr="00EB6B96">
        <w:rPr>
          <w:rFonts w:asciiTheme="minorHAnsi" w:hAnsiTheme="minorHAnsi" w:cstheme="minorHAnsi"/>
          <w:color w:val="000000"/>
        </w:rPr>
        <w:t>Henriot, C. (2012). Slums, squats, or hutments? Constructing and deconstructing an in-between space in modern Shanghai (1926–65). </w:t>
      </w:r>
      <w:r w:rsidRPr="00EB6B96">
        <w:rPr>
          <w:rFonts w:asciiTheme="minorHAnsi" w:hAnsiTheme="minorHAnsi" w:cstheme="minorHAnsi"/>
          <w:i/>
          <w:color w:val="000000"/>
        </w:rPr>
        <w:t>Frontiers of History in China</w:t>
      </w:r>
      <w:r w:rsidRPr="00EB6B96">
        <w:rPr>
          <w:rFonts w:asciiTheme="minorHAnsi" w:hAnsiTheme="minorHAnsi" w:cstheme="minorHAnsi"/>
          <w:color w:val="000000"/>
        </w:rPr>
        <w:t>, </w:t>
      </w:r>
      <w:r w:rsidRPr="00EB6B96">
        <w:rPr>
          <w:rFonts w:asciiTheme="minorHAnsi" w:hAnsiTheme="minorHAnsi" w:cstheme="minorHAnsi"/>
          <w:i/>
          <w:color w:val="000000"/>
        </w:rPr>
        <w:t>7</w:t>
      </w:r>
      <w:r w:rsidRPr="00EB6B96">
        <w:rPr>
          <w:rFonts w:asciiTheme="minorHAnsi" w:hAnsiTheme="minorHAnsi" w:cstheme="minorHAnsi"/>
          <w:color w:val="000000"/>
        </w:rPr>
        <w:t xml:space="preserve">(4), 499-528. </w:t>
      </w:r>
      <w:r w:rsidRPr="00EB6B96">
        <w:rPr>
          <w:rFonts w:asciiTheme="minorHAnsi" w:hAnsiTheme="minorHAnsi" w:cstheme="minorHAnsi"/>
          <w:color w:val="4BACC6"/>
          <w:u w:val="single"/>
        </w:rPr>
        <w:t>https://doi.org/10.3868/s020-001-012-0030-5</w:t>
      </w:r>
    </w:p>
    <w:p w14:paraId="47B6B821" w14:textId="77777777" w:rsidR="00EA189D" w:rsidRPr="00B76CA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u w:val="single"/>
          <w:lang w:val="de-DE"/>
        </w:rPr>
      </w:pPr>
      <w:r w:rsidRPr="00EB6B96">
        <w:rPr>
          <w:rFonts w:asciiTheme="minorHAnsi" w:hAnsiTheme="minorHAnsi" w:cstheme="minorHAnsi"/>
          <w:color w:val="000000"/>
        </w:rPr>
        <w:t>Henriot, C. (2017). 'Little Japan' in Shanghai: An insulated community, 1875-1945. In </w:t>
      </w:r>
      <w:r w:rsidRPr="00EB6B96">
        <w:rPr>
          <w:rFonts w:asciiTheme="minorHAnsi" w:hAnsiTheme="minorHAnsi" w:cstheme="minorHAnsi"/>
          <w:i/>
          <w:color w:val="000000"/>
        </w:rPr>
        <w:t>New frontiers Imperialism’s new communities in east Asia, 1842–1953</w:t>
      </w:r>
      <w:r w:rsidRPr="00EB6B96">
        <w:rPr>
          <w:rFonts w:asciiTheme="minorHAnsi" w:hAnsiTheme="minorHAnsi" w:cstheme="minorHAnsi"/>
          <w:color w:val="000000"/>
        </w:rPr>
        <w:t xml:space="preserve">. Manchester, UK: Manchester University Press. </w:t>
      </w:r>
      <w:r w:rsidRPr="00DD4C0E">
        <w:rPr>
          <w:rFonts w:asciiTheme="minorHAnsi" w:hAnsiTheme="minorHAnsi" w:cstheme="minorHAnsi"/>
          <w:color w:val="000000"/>
          <w:highlight w:val="white"/>
          <w:lang w:val="de-DE"/>
        </w:rPr>
        <w:t xml:space="preserve">ISBN: 9780719089329. </w:t>
      </w:r>
      <w:hyperlink r:id="rId21">
        <w:r w:rsidRPr="00B76CA6">
          <w:rPr>
            <w:rFonts w:asciiTheme="minorHAnsi" w:hAnsiTheme="minorHAnsi" w:cstheme="minorHAnsi"/>
            <w:color w:val="4BACC6"/>
            <w:u w:val="single"/>
            <w:lang w:val="de-DE"/>
          </w:rPr>
          <w:t>https://doi.org/10.7765/9781526119742.00017</w:t>
        </w:r>
      </w:hyperlink>
    </w:p>
    <w:p w14:paraId="47C2ADDE"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highlight w:val="white"/>
        </w:rPr>
      </w:pPr>
      <w:r w:rsidRPr="00B76CA6">
        <w:rPr>
          <w:rFonts w:asciiTheme="minorHAnsi" w:hAnsiTheme="minorHAnsi" w:cstheme="minorHAnsi"/>
          <w:color w:val="000000"/>
          <w:highlight w:val="white"/>
          <w:lang w:val="de-DE"/>
        </w:rPr>
        <w:t xml:space="preserve">Hillier, B., Hanson, J., &amp; Graham, H. (1987). </w:t>
      </w:r>
      <w:r w:rsidRPr="00EB6B96">
        <w:rPr>
          <w:rFonts w:asciiTheme="minorHAnsi" w:hAnsiTheme="minorHAnsi" w:cstheme="minorHAnsi"/>
          <w:color w:val="000000"/>
          <w:highlight w:val="white"/>
        </w:rPr>
        <w:t>Ideas are in things: an application of the space syntax method to discovering house genotypes. </w:t>
      </w:r>
      <w:r w:rsidRPr="00EB6B96">
        <w:rPr>
          <w:rFonts w:asciiTheme="minorHAnsi" w:hAnsiTheme="minorHAnsi" w:cstheme="minorHAnsi"/>
          <w:i/>
          <w:color w:val="000000"/>
          <w:highlight w:val="white"/>
        </w:rPr>
        <w:t>Environment and Planning B: planning and design</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14</w:t>
      </w:r>
      <w:r w:rsidRPr="00EB6B96">
        <w:rPr>
          <w:rFonts w:asciiTheme="minorHAnsi" w:hAnsiTheme="minorHAnsi" w:cstheme="minorHAnsi"/>
          <w:color w:val="000000"/>
          <w:highlight w:val="white"/>
        </w:rPr>
        <w:t xml:space="preserve">(4), 363-385. </w:t>
      </w:r>
      <w:hyperlink r:id="rId22">
        <w:r w:rsidRPr="00EB6B96">
          <w:rPr>
            <w:rFonts w:asciiTheme="minorHAnsi" w:hAnsiTheme="minorHAnsi" w:cstheme="minorHAnsi"/>
            <w:color w:val="4BACC6"/>
            <w:highlight w:val="white"/>
            <w:u w:val="single"/>
          </w:rPr>
          <w:t>https://doi.org/10.1068/b140363</w:t>
        </w:r>
      </w:hyperlink>
    </w:p>
    <w:p w14:paraId="1294FC5C"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highlight w:val="white"/>
        </w:rPr>
      </w:pPr>
      <w:r w:rsidRPr="00DD4C0E">
        <w:rPr>
          <w:rFonts w:asciiTheme="minorHAnsi" w:hAnsiTheme="minorHAnsi" w:cstheme="minorHAnsi"/>
          <w:color w:val="000000"/>
          <w:highlight w:val="white"/>
          <w:lang w:val="de-DE"/>
        </w:rPr>
        <w:t xml:space="preserve">Hillier, B., Penn, A., Hanson, J., Grajewski, T., &amp; Xu, J. (1993). </w:t>
      </w:r>
      <w:r w:rsidRPr="00EB6B96">
        <w:rPr>
          <w:rFonts w:asciiTheme="minorHAnsi" w:hAnsiTheme="minorHAnsi" w:cstheme="minorHAnsi"/>
          <w:color w:val="000000"/>
          <w:highlight w:val="white"/>
        </w:rPr>
        <w:t>Natural movement: or, configuration and attraction in urban pedestrian movement. </w:t>
      </w:r>
      <w:r w:rsidRPr="00EB6B96">
        <w:rPr>
          <w:rFonts w:asciiTheme="minorHAnsi" w:hAnsiTheme="minorHAnsi" w:cstheme="minorHAnsi"/>
          <w:i/>
          <w:color w:val="000000"/>
          <w:highlight w:val="white"/>
        </w:rPr>
        <w:t>Environment and Planning B: planning and design</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20</w:t>
      </w:r>
      <w:r w:rsidRPr="00EB6B96">
        <w:rPr>
          <w:rFonts w:asciiTheme="minorHAnsi" w:hAnsiTheme="minorHAnsi" w:cstheme="minorHAnsi"/>
          <w:color w:val="000000"/>
          <w:highlight w:val="white"/>
        </w:rPr>
        <w:t xml:space="preserve">(1), 29-66. </w:t>
      </w:r>
      <w:hyperlink r:id="rId23">
        <w:r w:rsidRPr="00EB6B96">
          <w:rPr>
            <w:rFonts w:asciiTheme="minorHAnsi" w:hAnsiTheme="minorHAnsi" w:cstheme="minorHAnsi"/>
            <w:color w:val="4BACC6"/>
            <w:highlight w:val="white"/>
            <w:u w:val="single"/>
          </w:rPr>
          <w:t>https://doi.org/10.1068/b200029</w:t>
        </w:r>
      </w:hyperlink>
    </w:p>
    <w:p w14:paraId="78A21FAC"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FF"/>
          <w:u w:val="single"/>
        </w:rPr>
      </w:pPr>
      <w:r w:rsidRPr="00DD4C0E">
        <w:rPr>
          <w:rFonts w:asciiTheme="minorHAnsi" w:hAnsiTheme="minorHAnsi" w:cstheme="minorHAnsi"/>
          <w:color w:val="000000"/>
          <w:highlight w:val="white"/>
          <w:lang w:val="de-DE"/>
        </w:rPr>
        <w:t xml:space="preserve">Hillier, W. R. G., Hanson, J., &amp; Peponis, J. (1987). </w:t>
      </w:r>
      <w:r w:rsidRPr="00EB6B96">
        <w:rPr>
          <w:rFonts w:asciiTheme="minorHAnsi" w:hAnsiTheme="minorHAnsi" w:cstheme="minorHAnsi"/>
          <w:color w:val="000000"/>
          <w:highlight w:val="white"/>
        </w:rPr>
        <w:t>Syntactic analysis of settlements. </w:t>
      </w:r>
      <w:r w:rsidRPr="00EB6B96">
        <w:rPr>
          <w:rFonts w:asciiTheme="minorHAnsi" w:hAnsiTheme="minorHAnsi" w:cstheme="minorHAnsi"/>
          <w:i/>
          <w:color w:val="000000"/>
          <w:highlight w:val="white"/>
        </w:rPr>
        <w:t xml:space="preserve">Architecture et </w:t>
      </w:r>
      <w:proofErr w:type="spellStart"/>
      <w:r w:rsidRPr="00EB6B96">
        <w:rPr>
          <w:rFonts w:asciiTheme="minorHAnsi" w:hAnsiTheme="minorHAnsi" w:cstheme="minorHAnsi"/>
          <w:i/>
          <w:color w:val="000000"/>
          <w:highlight w:val="white"/>
        </w:rPr>
        <w:t>comportement</w:t>
      </w:r>
      <w:proofErr w:type="spellEnd"/>
      <w:r w:rsidRPr="00EB6B96">
        <w:rPr>
          <w:rFonts w:asciiTheme="minorHAnsi" w:hAnsiTheme="minorHAnsi" w:cstheme="minorHAnsi"/>
          <w:i/>
          <w:color w:val="000000"/>
          <w:highlight w:val="white"/>
        </w:rPr>
        <w:t>/Architecture and Behaviour</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3</w:t>
      </w:r>
      <w:r w:rsidRPr="00EB6B96">
        <w:rPr>
          <w:rFonts w:asciiTheme="minorHAnsi" w:hAnsiTheme="minorHAnsi" w:cstheme="minorHAnsi"/>
          <w:color w:val="000000"/>
          <w:highlight w:val="white"/>
        </w:rPr>
        <w:t xml:space="preserve">(3), 217-231. </w:t>
      </w:r>
      <w:r w:rsidRPr="00EB6B96">
        <w:rPr>
          <w:rFonts w:asciiTheme="minorHAnsi" w:hAnsiTheme="minorHAnsi" w:cstheme="minorHAnsi"/>
          <w:color w:val="4BACC6"/>
          <w:u w:val="single"/>
        </w:rPr>
        <w:t>http://discovery.ucl.ac.uk/86/1/hillier-etal-1987-synactic-analysis-settlements.pdf</w:t>
      </w:r>
    </w:p>
    <w:p w14:paraId="7EA609E8"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highlight w:val="white"/>
        </w:rPr>
      </w:pPr>
      <w:r w:rsidRPr="00EB6B96">
        <w:rPr>
          <w:rFonts w:asciiTheme="minorHAnsi" w:hAnsiTheme="minorHAnsi" w:cstheme="minorHAnsi"/>
          <w:color w:val="000000"/>
          <w:highlight w:val="white"/>
        </w:rPr>
        <w:t>Wilson, D. (1982). </w:t>
      </w:r>
      <w:r w:rsidRPr="00EB6B96">
        <w:rPr>
          <w:rFonts w:asciiTheme="minorHAnsi" w:hAnsiTheme="minorHAnsi" w:cstheme="minorHAnsi"/>
          <w:i/>
          <w:color w:val="000000"/>
          <w:highlight w:val="white"/>
        </w:rPr>
        <w:t>When Tigers Fight: The Story of the Sino-Japanese War, 1937-1945</w:t>
      </w:r>
      <w:r w:rsidRPr="00EB6B96">
        <w:rPr>
          <w:rFonts w:asciiTheme="minorHAnsi" w:hAnsiTheme="minorHAnsi" w:cstheme="minorHAnsi"/>
          <w:color w:val="000000"/>
          <w:highlight w:val="white"/>
        </w:rPr>
        <w:t xml:space="preserve"> (p. 94). New York, NY: Viking Press. </w:t>
      </w:r>
    </w:p>
    <w:p w14:paraId="42D7165F"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Hou, Y. B., Zhang, F. H., 2001. The Theme in the Development of Chinese Modern Architecture (1840—1949): Typological Mode </w:t>
      </w:r>
      <w:proofErr w:type="spellStart"/>
      <w:r w:rsidRPr="00EB6B96">
        <w:rPr>
          <w:rFonts w:asciiTheme="minorHAnsi" w:hAnsiTheme="minorHAnsi" w:cstheme="minorHAnsi"/>
          <w:color w:val="000000"/>
        </w:rPr>
        <w:t>uurbanization</w:t>
      </w:r>
      <w:proofErr w:type="spellEnd"/>
      <w:r w:rsidRPr="00EB6B96">
        <w:rPr>
          <w:rFonts w:asciiTheme="minorHAnsi" w:hAnsiTheme="minorHAnsi" w:cstheme="minorHAnsi"/>
          <w:color w:val="000000"/>
        </w:rPr>
        <w:t xml:space="preserve">. In </w:t>
      </w:r>
      <w:r w:rsidRPr="00EB6B96">
        <w:rPr>
          <w:rFonts w:asciiTheme="minorHAnsi" w:hAnsiTheme="minorHAnsi" w:cstheme="minorHAnsi"/>
          <w:i/>
          <w:color w:val="000000"/>
        </w:rPr>
        <w:t xml:space="preserve">Anthology of 2000 International Conference on Modern History of Chinese Architecture </w:t>
      </w:r>
      <w:r w:rsidRPr="00EB6B96">
        <w:rPr>
          <w:rFonts w:asciiTheme="minorHAnsi" w:hAnsiTheme="minorHAnsi" w:cstheme="minorHAnsi"/>
          <w:color w:val="000000"/>
        </w:rPr>
        <w:t xml:space="preserve">(pp. 3-10). Beijing, China: Tsinghua University Express. </w:t>
      </w:r>
    </w:p>
    <w:p w14:paraId="5082158D"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highlight w:val="white"/>
        </w:rPr>
        <w:t>Hata, I. (1988). Continental Expansion, 1905–1941. </w:t>
      </w:r>
      <w:r w:rsidRPr="00EB6B96">
        <w:rPr>
          <w:rFonts w:asciiTheme="minorHAnsi" w:hAnsiTheme="minorHAnsi" w:cstheme="minorHAnsi"/>
          <w:i/>
          <w:color w:val="000000"/>
          <w:highlight w:val="white"/>
        </w:rPr>
        <w:t>The Cambridge History of Japan</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6</w:t>
      </w:r>
      <w:r w:rsidRPr="00EB6B96">
        <w:rPr>
          <w:rFonts w:asciiTheme="minorHAnsi" w:hAnsiTheme="minorHAnsi" w:cstheme="minorHAnsi"/>
          <w:color w:val="000000"/>
          <w:highlight w:val="white"/>
        </w:rPr>
        <w:t>, 271-314.</w:t>
      </w:r>
      <w:r w:rsidRPr="00EB6B96">
        <w:rPr>
          <w:rFonts w:asciiTheme="minorHAnsi" w:hAnsiTheme="minorHAnsi" w:cstheme="minorHAnsi"/>
          <w:color w:val="000000"/>
        </w:rPr>
        <w:t xml:space="preserve"> </w:t>
      </w:r>
      <w:hyperlink r:id="rId24">
        <w:r w:rsidRPr="00EB6B96">
          <w:rPr>
            <w:rFonts w:asciiTheme="minorHAnsi" w:hAnsiTheme="minorHAnsi" w:cstheme="minorHAnsi"/>
            <w:color w:val="4BACC6"/>
            <w:u w:val="single"/>
          </w:rPr>
          <w:t>https://doi.org/10.1017/CHOL9780521223577.007</w:t>
        </w:r>
      </w:hyperlink>
    </w:p>
    <w:p w14:paraId="2981904D"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FF"/>
          <w:u w:val="single"/>
        </w:rPr>
      </w:pPr>
      <w:r w:rsidRPr="00EB6B96">
        <w:rPr>
          <w:rFonts w:asciiTheme="minorHAnsi" w:hAnsiTheme="minorHAnsi" w:cstheme="minorHAnsi"/>
          <w:color w:val="000000"/>
        </w:rPr>
        <w:t xml:space="preserve">Jian, W. (2010). A Review of the Aggressive Activities of the Japanese Kwantung Army in Northeast China before the September 18th Incident. </w:t>
      </w:r>
      <w:r w:rsidRPr="00EB6B96">
        <w:rPr>
          <w:rFonts w:asciiTheme="minorHAnsi" w:hAnsiTheme="minorHAnsi" w:cstheme="minorHAnsi"/>
          <w:i/>
          <w:color w:val="000000"/>
        </w:rPr>
        <w:t>Journal of Liaoning Normal University (Social Science Edition), 33</w:t>
      </w:r>
      <w:r w:rsidRPr="00EB6B96">
        <w:rPr>
          <w:rFonts w:asciiTheme="minorHAnsi" w:hAnsiTheme="minorHAnsi" w:cstheme="minorHAnsi"/>
          <w:color w:val="000000"/>
        </w:rPr>
        <w:t xml:space="preserve">(1), 25. </w:t>
      </w:r>
      <w:r w:rsidRPr="00EB6B96">
        <w:rPr>
          <w:rFonts w:asciiTheme="minorHAnsi" w:hAnsiTheme="minorHAnsi" w:cstheme="minorHAnsi"/>
          <w:color w:val="4BACC6"/>
          <w:u w:val="single"/>
        </w:rPr>
        <w:t>https://doi.org/10.3969/j.issn.1000-1751.2010.01.026</w:t>
      </w:r>
    </w:p>
    <w:p w14:paraId="6A8997C9" w14:textId="77777777" w:rsidR="00EA189D" w:rsidRPr="00F4259B"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lang w:val="pt-BR"/>
        </w:rPr>
      </w:pPr>
      <w:r w:rsidRPr="00EB6B96">
        <w:rPr>
          <w:rFonts w:asciiTheme="minorHAnsi" w:hAnsiTheme="minorHAnsi" w:cstheme="minorHAnsi"/>
          <w:color w:val="000000"/>
        </w:rPr>
        <w:t xml:space="preserve">Leng, H., Yuan, Q. (2007). Urban Planning Ideas in Modern Northeast China and Its Edification. </w:t>
      </w:r>
      <w:r w:rsidRPr="00F4259B">
        <w:rPr>
          <w:rFonts w:asciiTheme="minorHAnsi" w:hAnsiTheme="minorHAnsi" w:cstheme="minorHAnsi"/>
          <w:i/>
          <w:color w:val="000000"/>
          <w:lang w:val="pt-BR"/>
        </w:rPr>
        <w:t>Shidai Jianzhu,</w:t>
      </w:r>
      <w:r w:rsidRPr="00F4259B">
        <w:rPr>
          <w:rFonts w:asciiTheme="minorHAnsi" w:hAnsiTheme="minorHAnsi" w:cstheme="minorHAnsi"/>
          <w:color w:val="000000"/>
          <w:lang w:val="pt-BR"/>
        </w:rPr>
        <w:t xml:space="preserve"> (6), 14-21. </w:t>
      </w:r>
      <w:r w:rsidRPr="00F4259B">
        <w:rPr>
          <w:rFonts w:asciiTheme="minorHAnsi" w:hAnsiTheme="minorHAnsi" w:cstheme="minorHAnsi"/>
          <w:color w:val="4BACC6"/>
          <w:u w:val="single"/>
          <w:lang w:val="pt-BR"/>
        </w:rPr>
        <w:t>https://doi.org/</w:t>
      </w:r>
      <w:hyperlink r:id="rId25">
        <w:r w:rsidRPr="00F4259B">
          <w:rPr>
            <w:rFonts w:asciiTheme="minorHAnsi" w:hAnsiTheme="minorHAnsi" w:cstheme="minorHAnsi"/>
            <w:color w:val="4BACC6"/>
            <w:u w:val="single"/>
            <w:lang w:val="pt-BR"/>
          </w:rPr>
          <w:t>10.3969/j.issn.1005-684X.2007.06.005</w:t>
        </w:r>
      </w:hyperlink>
    </w:p>
    <w:p w14:paraId="3B90F49A"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F4259B">
        <w:rPr>
          <w:rFonts w:asciiTheme="minorHAnsi" w:hAnsiTheme="minorHAnsi" w:cstheme="minorHAnsi"/>
          <w:color w:val="000000"/>
          <w:lang w:val="pt-BR"/>
        </w:rPr>
        <w:t xml:space="preserve">Lv, H. P., Zhu, Y. G. (2012). </w:t>
      </w:r>
      <w:r w:rsidRPr="00EB6B96">
        <w:rPr>
          <w:rFonts w:asciiTheme="minorHAnsi" w:hAnsiTheme="minorHAnsi" w:cstheme="minorHAnsi"/>
          <w:color w:val="000000"/>
        </w:rPr>
        <w:t xml:space="preserve">The Urban Planning and Land Management of the Commercial Port in </w:t>
      </w:r>
      <w:proofErr w:type="spellStart"/>
      <w:r w:rsidRPr="00EB6B96">
        <w:rPr>
          <w:rFonts w:asciiTheme="minorHAnsi" w:hAnsiTheme="minorHAnsi" w:cstheme="minorHAnsi"/>
          <w:color w:val="000000"/>
        </w:rPr>
        <w:t>Fengtian</w:t>
      </w:r>
      <w:proofErr w:type="spellEnd"/>
      <w:r w:rsidRPr="00EB6B96">
        <w:rPr>
          <w:rFonts w:asciiTheme="minorHAnsi" w:hAnsiTheme="minorHAnsi" w:cstheme="minorHAnsi"/>
          <w:color w:val="000000"/>
        </w:rPr>
        <w:t xml:space="preserve"> in Modern Time, </w:t>
      </w:r>
      <w:hyperlink r:id="rId26">
        <w:r w:rsidRPr="00EB6B96">
          <w:rPr>
            <w:rFonts w:asciiTheme="minorHAnsi" w:hAnsiTheme="minorHAnsi" w:cstheme="minorHAnsi"/>
            <w:i/>
            <w:color w:val="000000"/>
          </w:rPr>
          <w:t>Architecture &amp; Culture</w:t>
        </w:r>
      </w:hyperlink>
      <w:r w:rsidRPr="00EB6B96">
        <w:rPr>
          <w:rFonts w:asciiTheme="minorHAnsi" w:hAnsiTheme="minorHAnsi" w:cstheme="minorHAnsi"/>
          <w:i/>
          <w:color w:val="000000"/>
        </w:rPr>
        <w:t>,</w:t>
      </w:r>
      <w:r w:rsidRPr="00EB6B96">
        <w:rPr>
          <w:rFonts w:asciiTheme="minorHAnsi" w:hAnsiTheme="minorHAnsi" w:cstheme="minorHAnsi"/>
          <w:color w:val="000000"/>
        </w:rPr>
        <w:t xml:space="preserve"> (6), 68-69. </w:t>
      </w:r>
      <w:hyperlink r:id="rId27">
        <w:r w:rsidRPr="00EB6B96">
          <w:rPr>
            <w:rFonts w:asciiTheme="minorHAnsi" w:hAnsiTheme="minorHAnsi" w:cstheme="minorHAnsi"/>
            <w:color w:val="4BACC6"/>
            <w:u w:val="single"/>
          </w:rPr>
          <w:t>http://www.wanfangdata.com.cn/details/detail.do?_type=perio&amp;id=jzywh201206016</w:t>
        </w:r>
      </w:hyperlink>
    </w:p>
    <w:p w14:paraId="43049814"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proofErr w:type="spellStart"/>
      <w:r w:rsidRPr="00EB6B96">
        <w:rPr>
          <w:rFonts w:asciiTheme="minorHAnsi" w:hAnsiTheme="minorHAnsi" w:cstheme="minorHAnsi"/>
          <w:color w:val="000000"/>
        </w:rPr>
        <w:t>Lotchin</w:t>
      </w:r>
      <w:proofErr w:type="spellEnd"/>
      <w:r w:rsidRPr="00EB6B96">
        <w:rPr>
          <w:rFonts w:asciiTheme="minorHAnsi" w:hAnsiTheme="minorHAnsi" w:cstheme="minorHAnsi"/>
          <w:color w:val="000000"/>
        </w:rPr>
        <w:t xml:space="preserve">, R.W. (2003). </w:t>
      </w:r>
      <w:r w:rsidRPr="00EB6B96">
        <w:rPr>
          <w:rFonts w:asciiTheme="minorHAnsi" w:hAnsiTheme="minorHAnsi" w:cstheme="minorHAnsi"/>
          <w:i/>
          <w:color w:val="000000"/>
        </w:rPr>
        <w:t>The Bad City in the Good War: San Francisco, Los Angeles, Oakland, and San Diego</w:t>
      </w:r>
      <w:r w:rsidRPr="00EB6B96">
        <w:rPr>
          <w:rFonts w:asciiTheme="minorHAnsi" w:hAnsiTheme="minorHAnsi" w:cstheme="minorHAnsi"/>
          <w:color w:val="000000"/>
        </w:rPr>
        <w:t xml:space="preserve"> (pp. 5). Bloomington, IN: Indiana University Press. ISBN-10: 9780253215468. </w:t>
      </w:r>
    </w:p>
    <w:p w14:paraId="224B12D5"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Mair, V.H. (2008). </w:t>
      </w:r>
      <w:r w:rsidRPr="00EB6B96">
        <w:rPr>
          <w:rFonts w:asciiTheme="minorHAnsi" w:hAnsiTheme="minorHAnsi" w:cstheme="minorHAnsi"/>
          <w:i/>
          <w:color w:val="000000"/>
        </w:rPr>
        <w:t>The Art of War: Sun Zi’s Military Methods</w:t>
      </w:r>
      <w:r w:rsidRPr="00EB6B96">
        <w:rPr>
          <w:rFonts w:asciiTheme="minorHAnsi" w:hAnsiTheme="minorHAnsi" w:cstheme="minorHAnsi"/>
          <w:color w:val="000000"/>
        </w:rPr>
        <w:t xml:space="preserve"> (pp. xi-xxv). New York, NY: Columbia University Press. </w:t>
      </w:r>
    </w:p>
    <w:p w14:paraId="351E2782"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Nelson, M.K. (2012). </w:t>
      </w:r>
      <w:r w:rsidRPr="00EB6B96">
        <w:rPr>
          <w:rFonts w:asciiTheme="minorHAnsi" w:hAnsiTheme="minorHAnsi" w:cstheme="minorHAnsi"/>
          <w:i/>
          <w:color w:val="000000"/>
        </w:rPr>
        <w:t>Ruin nation: destruction and the American Civil War</w:t>
      </w:r>
      <w:r w:rsidRPr="00EB6B96">
        <w:rPr>
          <w:rFonts w:asciiTheme="minorHAnsi" w:hAnsiTheme="minorHAnsi" w:cstheme="minorHAnsi"/>
          <w:color w:val="000000"/>
        </w:rPr>
        <w:t xml:space="preserve"> (pp. 10-60). Athens, GA: University of Georgia Press. ISBN: 9780820343792. </w:t>
      </w:r>
    </w:p>
    <w:p w14:paraId="60DE6D8E"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Nish, I. (2014). </w:t>
      </w:r>
      <w:r w:rsidRPr="00EB6B96">
        <w:rPr>
          <w:rFonts w:asciiTheme="minorHAnsi" w:hAnsiTheme="minorHAnsi" w:cstheme="minorHAnsi"/>
          <w:i/>
          <w:color w:val="000000"/>
        </w:rPr>
        <w:t>The origins of the Russo-Japanese war</w:t>
      </w:r>
      <w:r w:rsidRPr="00EB6B96">
        <w:rPr>
          <w:rFonts w:asciiTheme="minorHAnsi" w:hAnsiTheme="minorHAnsi" w:cstheme="minorHAnsi"/>
          <w:color w:val="000000"/>
        </w:rPr>
        <w:t xml:space="preserve"> (pp.17). New York, NY: Routledge. </w:t>
      </w:r>
    </w:p>
    <w:p w14:paraId="501DDDCA"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highlight w:val="white"/>
        </w:rPr>
        <w:t>Omer, I., Zafrir-Reuven, O. (2010). Street patterns and spatial integration of Israeli cities. </w:t>
      </w:r>
      <w:r w:rsidRPr="00EB6B96">
        <w:rPr>
          <w:rFonts w:asciiTheme="minorHAnsi" w:hAnsiTheme="minorHAnsi" w:cstheme="minorHAnsi"/>
          <w:i/>
          <w:color w:val="000000"/>
          <w:highlight w:val="white"/>
        </w:rPr>
        <w:t>The Journal of Space Syntax</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1</w:t>
      </w:r>
      <w:r w:rsidRPr="00EB6B96">
        <w:rPr>
          <w:rFonts w:asciiTheme="minorHAnsi" w:hAnsiTheme="minorHAnsi" w:cstheme="minorHAnsi"/>
          <w:color w:val="000000"/>
          <w:highlight w:val="white"/>
        </w:rPr>
        <w:t>(2), 295.</w:t>
      </w:r>
      <w:r w:rsidRPr="00EB6B96">
        <w:rPr>
          <w:rFonts w:asciiTheme="minorHAnsi" w:hAnsiTheme="minorHAnsi" w:cstheme="minorHAnsi"/>
          <w:color w:val="000000"/>
        </w:rPr>
        <w:t xml:space="preserve"> </w:t>
      </w:r>
      <w:hyperlink r:id="rId28">
        <w:r w:rsidRPr="00EB6B96">
          <w:rPr>
            <w:rFonts w:asciiTheme="minorHAnsi" w:hAnsiTheme="minorHAnsi" w:cstheme="minorHAnsi"/>
            <w:color w:val="4BACC6"/>
            <w:u w:val="single"/>
          </w:rPr>
          <w:t>http://128.40.150.106/joss/index.php/joss/article/view/280/pdf_24</w:t>
        </w:r>
      </w:hyperlink>
    </w:p>
    <w:p w14:paraId="24D27C3B"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highlight w:val="white"/>
        </w:rPr>
      </w:pPr>
      <w:r w:rsidRPr="00EB6B96">
        <w:rPr>
          <w:rFonts w:asciiTheme="minorHAnsi" w:hAnsiTheme="minorHAnsi" w:cstheme="minorHAnsi"/>
          <w:color w:val="000000"/>
          <w:highlight w:val="white"/>
        </w:rPr>
        <w:t xml:space="preserve">Penn, A. (2003). Space syntax and spatial cognition: or why the axial line? </w:t>
      </w:r>
      <w:r w:rsidRPr="00EB6B96">
        <w:rPr>
          <w:rFonts w:asciiTheme="minorHAnsi" w:hAnsiTheme="minorHAnsi" w:cstheme="minorHAnsi"/>
          <w:i/>
          <w:color w:val="000000"/>
          <w:highlight w:val="white"/>
        </w:rPr>
        <w:t xml:space="preserve">Environment and </w:t>
      </w:r>
      <w:proofErr w:type="spellStart"/>
      <w:r w:rsidRPr="00EB6B96">
        <w:rPr>
          <w:rFonts w:asciiTheme="minorHAnsi" w:hAnsiTheme="minorHAnsi" w:cstheme="minorHAnsi"/>
          <w:i/>
          <w:color w:val="000000"/>
          <w:highlight w:val="white"/>
        </w:rPr>
        <w:t>behavior</w:t>
      </w:r>
      <w:proofErr w:type="spellEnd"/>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35</w:t>
      </w:r>
      <w:r w:rsidRPr="00EB6B96">
        <w:rPr>
          <w:rFonts w:asciiTheme="minorHAnsi" w:hAnsiTheme="minorHAnsi" w:cstheme="minorHAnsi"/>
          <w:color w:val="000000"/>
          <w:highlight w:val="white"/>
        </w:rPr>
        <w:t xml:space="preserve">(1), 30-65. </w:t>
      </w:r>
      <w:hyperlink r:id="rId29">
        <w:r w:rsidRPr="00EB6B96">
          <w:rPr>
            <w:rFonts w:asciiTheme="minorHAnsi" w:hAnsiTheme="minorHAnsi" w:cstheme="minorHAnsi"/>
            <w:color w:val="4BACC6"/>
            <w:highlight w:val="white"/>
            <w:u w:val="single"/>
          </w:rPr>
          <w:t>https://doi.org/10.1177/0013916502238864</w:t>
        </w:r>
      </w:hyperlink>
    </w:p>
    <w:p w14:paraId="39F4A1D9"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FF"/>
          <w:u w:val="single"/>
        </w:rPr>
      </w:pPr>
      <w:r w:rsidRPr="00EB6B96">
        <w:rPr>
          <w:rFonts w:asciiTheme="minorHAnsi" w:hAnsiTheme="minorHAnsi" w:cstheme="minorHAnsi"/>
          <w:color w:val="000000"/>
          <w:highlight w:val="white"/>
        </w:rPr>
        <w:t>Qian, Z. (2016). Political campaigns and urban transformation in Maoist China, 1949–1976. </w:t>
      </w:r>
      <w:r w:rsidRPr="00EB6B96">
        <w:rPr>
          <w:rFonts w:asciiTheme="minorHAnsi" w:hAnsiTheme="minorHAnsi" w:cstheme="minorHAnsi"/>
          <w:i/>
          <w:color w:val="000000"/>
          <w:highlight w:val="white"/>
        </w:rPr>
        <w:t>International Development Planning Review</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38</w:t>
      </w:r>
      <w:r w:rsidRPr="00EB6B96">
        <w:rPr>
          <w:rFonts w:asciiTheme="minorHAnsi" w:hAnsiTheme="minorHAnsi" w:cstheme="minorHAnsi"/>
          <w:color w:val="000000"/>
          <w:highlight w:val="white"/>
        </w:rPr>
        <w:t>(2), 113-133.</w:t>
      </w:r>
      <w:r w:rsidRPr="00EB6B96">
        <w:rPr>
          <w:rFonts w:asciiTheme="minorHAnsi" w:hAnsiTheme="minorHAnsi" w:cstheme="minorHAnsi"/>
          <w:color w:val="000000"/>
        </w:rPr>
        <w:t xml:space="preserve"> </w:t>
      </w:r>
      <w:hyperlink r:id="rId30">
        <w:r w:rsidRPr="00EB6B96">
          <w:rPr>
            <w:rFonts w:asciiTheme="minorHAnsi" w:hAnsiTheme="minorHAnsi" w:cstheme="minorHAnsi"/>
            <w:color w:val="4BACC6"/>
            <w:u w:val="single"/>
          </w:rPr>
          <w:t>https://doi.org/10.3828/idpr.2016.6</w:t>
        </w:r>
      </w:hyperlink>
    </w:p>
    <w:p w14:paraId="78F1E76F" w14:textId="77777777" w:rsidR="00EA189D" w:rsidRPr="00F4259B"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lang w:val="pt-BR"/>
        </w:rPr>
      </w:pPr>
      <w:r w:rsidRPr="00EB6B96">
        <w:rPr>
          <w:rFonts w:asciiTheme="minorHAnsi" w:hAnsiTheme="minorHAnsi" w:cstheme="minorHAnsi"/>
          <w:color w:val="000000"/>
          <w:highlight w:val="white"/>
        </w:rPr>
        <w:t>Read, S. (1999). Space syntax and the Dutch city. </w:t>
      </w:r>
      <w:r w:rsidRPr="00EB6B96">
        <w:rPr>
          <w:rFonts w:asciiTheme="minorHAnsi" w:hAnsiTheme="minorHAnsi" w:cstheme="minorHAnsi"/>
          <w:i/>
          <w:color w:val="000000"/>
          <w:highlight w:val="white"/>
        </w:rPr>
        <w:t>Environment and Planning B: Planning and Design</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26</w:t>
      </w:r>
      <w:r w:rsidRPr="00EB6B96">
        <w:rPr>
          <w:rFonts w:asciiTheme="minorHAnsi" w:hAnsiTheme="minorHAnsi" w:cstheme="minorHAnsi"/>
          <w:color w:val="000000"/>
          <w:highlight w:val="white"/>
        </w:rPr>
        <w:t>(2), 251-264.</w:t>
      </w:r>
      <w:r w:rsidRPr="00EB6B96">
        <w:rPr>
          <w:rFonts w:asciiTheme="minorHAnsi" w:hAnsiTheme="minorHAnsi" w:cstheme="minorHAnsi"/>
          <w:color w:val="000000"/>
        </w:rPr>
        <w:t xml:space="preserve"> </w:t>
      </w:r>
      <w:hyperlink r:id="rId31">
        <w:r w:rsidRPr="00F4259B">
          <w:rPr>
            <w:rFonts w:asciiTheme="minorHAnsi" w:hAnsiTheme="minorHAnsi" w:cstheme="minorHAnsi"/>
            <w:color w:val="4BACC6"/>
            <w:highlight w:val="white"/>
            <w:u w:val="single"/>
            <w:lang w:val="pt-BR"/>
          </w:rPr>
          <w:t>https://doi.org/10.1068/b4425</w:t>
        </w:r>
      </w:hyperlink>
    </w:p>
    <w:p w14:paraId="734872D9"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F4259B">
        <w:rPr>
          <w:rFonts w:asciiTheme="minorHAnsi" w:hAnsiTheme="minorHAnsi" w:cstheme="minorHAnsi"/>
          <w:color w:val="000000"/>
          <w:highlight w:val="white"/>
          <w:lang w:val="pt-BR"/>
        </w:rPr>
        <w:t xml:space="preserve">Sanso-Navarro, M., Sanz, F., &amp; Vera-Cabello, M. (2015). </w:t>
      </w:r>
      <w:r w:rsidRPr="00EB6B96">
        <w:rPr>
          <w:rFonts w:asciiTheme="minorHAnsi" w:hAnsiTheme="minorHAnsi" w:cstheme="minorHAnsi"/>
          <w:color w:val="000000"/>
          <w:highlight w:val="white"/>
        </w:rPr>
        <w:t>The impact of the American Civil War on city growth. </w:t>
      </w:r>
      <w:r w:rsidRPr="00EB6B96">
        <w:rPr>
          <w:rFonts w:asciiTheme="minorHAnsi" w:hAnsiTheme="minorHAnsi" w:cstheme="minorHAnsi"/>
          <w:i/>
          <w:color w:val="000000"/>
          <w:highlight w:val="white"/>
        </w:rPr>
        <w:t>Urban Studies</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52</w:t>
      </w:r>
      <w:r w:rsidRPr="00EB6B96">
        <w:rPr>
          <w:rFonts w:asciiTheme="minorHAnsi" w:hAnsiTheme="minorHAnsi" w:cstheme="minorHAnsi"/>
          <w:color w:val="000000"/>
          <w:highlight w:val="white"/>
        </w:rPr>
        <w:t>(16), 3070-3085.</w:t>
      </w:r>
      <w:r w:rsidRPr="00EB6B96">
        <w:rPr>
          <w:rFonts w:asciiTheme="minorHAnsi" w:hAnsiTheme="minorHAnsi" w:cstheme="minorHAnsi"/>
          <w:color w:val="000000"/>
        </w:rPr>
        <w:t xml:space="preserve"> </w:t>
      </w:r>
      <w:hyperlink r:id="rId32">
        <w:r w:rsidRPr="00EB6B96">
          <w:rPr>
            <w:rFonts w:asciiTheme="minorHAnsi" w:hAnsiTheme="minorHAnsi" w:cstheme="minorHAnsi"/>
            <w:color w:val="4BACC6"/>
            <w:highlight w:val="white"/>
            <w:u w:val="single"/>
          </w:rPr>
          <w:t>https://doi.org/10.1177/0042098014553553</w:t>
        </w:r>
      </w:hyperlink>
    </w:p>
    <w:p w14:paraId="3D6AF3D5"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proofErr w:type="spellStart"/>
      <w:r w:rsidRPr="00EB6B96">
        <w:rPr>
          <w:rFonts w:asciiTheme="minorHAnsi" w:hAnsiTheme="minorHAnsi" w:cstheme="minorHAnsi"/>
          <w:color w:val="000000"/>
          <w:highlight w:val="white"/>
        </w:rPr>
        <w:t>Schachtschabel</w:t>
      </w:r>
      <w:proofErr w:type="spellEnd"/>
      <w:r w:rsidRPr="00EB6B96">
        <w:rPr>
          <w:rFonts w:asciiTheme="minorHAnsi" w:hAnsiTheme="minorHAnsi" w:cstheme="minorHAnsi"/>
          <w:color w:val="000000"/>
          <w:highlight w:val="white"/>
        </w:rPr>
        <w:t>, N. (Ed.). (2005). </w:t>
      </w:r>
      <w:r w:rsidRPr="00EB6B96">
        <w:rPr>
          <w:rFonts w:asciiTheme="minorHAnsi" w:hAnsiTheme="minorHAnsi" w:cstheme="minorHAnsi"/>
          <w:i/>
          <w:color w:val="000000"/>
          <w:highlight w:val="white"/>
        </w:rPr>
        <w:t xml:space="preserve">Cities &amp; eyes: </w:t>
      </w:r>
      <w:proofErr w:type="spellStart"/>
      <w:r w:rsidRPr="00EB6B96">
        <w:rPr>
          <w:rFonts w:asciiTheme="minorHAnsi" w:hAnsiTheme="minorHAnsi" w:cstheme="minorHAnsi"/>
          <w:i/>
          <w:color w:val="000000"/>
          <w:highlight w:val="white"/>
        </w:rPr>
        <w:t>bronnenboek</w:t>
      </w:r>
      <w:proofErr w:type="spellEnd"/>
      <w:r w:rsidRPr="00EB6B96">
        <w:rPr>
          <w:rFonts w:asciiTheme="minorHAnsi" w:hAnsiTheme="minorHAnsi" w:cstheme="minorHAnsi"/>
          <w:i/>
          <w:color w:val="000000"/>
          <w:highlight w:val="white"/>
        </w:rPr>
        <w:t xml:space="preserve"> </w:t>
      </w:r>
      <w:r w:rsidRPr="00EB6B96">
        <w:rPr>
          <w:rFonts w:asciiTheme="minorHAnsi" w:hAnsiTheme="minorHAnsi" w:cstheme="minorHAnsi"/>
          <w:color w:val="000000"/>
          <w:highlight w:val="white"/>
        </w:rPr>
        <w:t>(pp. 272). Amsterdam, Netherlands: Amsterdam University Press.</w:t>
      </w:r>
      <w:r w:rsidRPr="00EB6B96">
        <w:rPr>
          <w:rFonts w:asciiTheme="minorHAnsi" w:hAnsiTheme="minorHAnsi" w:cstheme="minorHAnsi"/>
          <w:color w:val="000000"/>
        </w:rPr>
        <w:t xml:space="preserve"> </w:t>
      </w:r>
    </w:p>
    <w:p w14:paraId="4B18F5BD"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shd w:val="clear" w:color="auto" w:fill="FCFCFC"/>
        </w:rPr>
      </w:pPr>
      <w:proofErr w:type="spellStart"/>
      <w:r w:rsidRPr="00EB6B96">
        <w:rPr>
          <w:rFonts w:asciiTheme="minorHAnsi" w:hAnsiTheme="minorHAnsi" w:cstheme="minorHAnsi"/>
          <w:color w:val="000000"/>
          <w:highlight w:val="white"/>
        </w:rPr>
        <w:t>Srinurak</w:t>
      </w:r>
      <w:proofErr w:type="spellEnd"/>
      <w:r w:rsidRPr="00EB6B96">
        <w:rPr>
          <w:rFonts w:asciiTheme="minorHAnsi" w:hAnsiTheme="minorHAnsi" w:cstheme="minorHAnsi"/>
          <w:color w:val="000000"/>
          <w:highlight w:val="white"/>
        </w:rPr>
        <w:t xml:space="preserve">, N., &amp; Mishima, N. (2017). Urban Axis and City shape evaluation through spatial configuration in ‘Lan </w:t>
      </w:r>
      <w:proofErr w:type="spellStart"/>
      <w:r w:rsidRPr="00EB6B96">
        <w:rPr>
          <w:rFonts w:asciiTheme="minorHAnsi" w:hAnsiTheme="minorHAnsi" w:cstheme="minorHAnsi"/>
          <w:color w:val="000000"/>
          <w:highlight w:val="white"/>
        </w:rPr>
        <w:t>Na’Northern</w:t>
      </w:r>
      <w:proofErr w:type="spellEnd"/>
      <w:r w:rsidRPr="00EB6B96">
        <w:rPr>
          <w:rFonts w:asciiTheme="minorHAnsi" w:hAnsiTheme="minorHAnsi" w:cstheme="minorHAnsi"/>
          <w:color w:val="000000"/>
          <w:highlight w:val="white"/>
        </w:rPr>
        <w:t xml:space="preserve"> Thailand Historic city. </w:t>
      </w:r>
      <w:r w:rsidRPr="00EB6B96">
        <w:rPr>
          <w:rFonts w:asciiTheme="minorHAnsi" w:hAnsiTheme="minorHAnsi" w:cstheme="minorHAnsi"/>
          <w:i/>
          <w:color w:val="000000"/>
          <w:highlight w:val="white"/>
        </w:rPr>
        <w:t>City, Territory and Architecture</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4</w:t>
      </w:r>
      <w:r w:rsidRPr="00EB6B96">
        <w:rPr>
          <w:rFonts w:asciiTheme="minorHAnsi" w:hAnsiTheme="minorHAnsi" w:cstheme="minorHAnsi"/>
          <w:color w:val="000000"/>
          <w:highlight w:val="white"/>
        </w:rPr>
        <w:t>(1), 10.</w:t>
      </w:r>
      <w:r w:rsidRPr="00EB6B96">
        <w:rPr>
          <w:rFonts w:asciiTheme="minorHAnsi" w:hAnsiTheme="minorHAnsi" w:cstheme="minorHAnsi"/>
          <w:color w:val="000000"/>
        </w:rPr>
        <w:t xml:space="preserve"> </w:t>
      </w:r>
      <w:hyperlink r:id="rId33">
        <w:r w:rsidRPr="00EB6B96">
          <w:rPr>
            <w:rFonts w:asciiTheme="minorHAnsi" w:hAnsiTheme="minorHAnsi" w:cstheme="minorHAnsi"/>
            <w:color w:val="4BACC6"/>
            <w:u w:val="single"/>
            <w:shd w:val="clear" w:color="auto" w:fill="FCFCFC"/>
          </w:rPr>
          <w:t>https://doi.org/10.1186/s40410-017-0067-z</w:t>
        </w:r>
      </w:hyperlink>
    </w:p>
    <w:p w14:paraId="179838D1"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Tang, W. S. (2000). Chinese urban planning at fifty: an assessment of the planning theory literature. Journal of Planning Literature, 14(3), 347-366. </w:t>
      </w:r>
      <w:hyperlink r:id="rId34">
        <w:r w:rsidRPr="00EB6B96">
          <w:rPr>
            <w:rFonts w:asciiTheme="minorHAnsi" w:hAnsiTheme="minorHAnsi" w:cstheme="minorHAnsi"/>
            <w:color w:val="4BACC6"/>
            <w:highlight w:val="white"/>
            <w:u w:val="single"/>
          </w:rPr>
          <w:t>https://doi.org/10.1177/08854120022092700</w:t>
        </w:r>
      </w:hyperlink>
    </w:p>
    <w:p w14:paraId="45C865A5"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highlight w:val="white"/>
        </w:rPr>
      </w:pPr>
      <w:r w:rsidRPr="00EB6B96">
        <w:rPr>
          <w:rFonts w:asciiTheme="minorHAnsi" w:hAnsiTheme="minorHAnsi" w:cstheme="minorHAnsi"/>
          <w:color w:val="000000"/>
          <w:highlight w:val="white"/>
        </w:rPr>
        <w:t>Tietze, W. O. L. F. (2003). Fifty Years of Railways in Manchuria: A Contribution to the Study of Transport Development in the Far East. </w:t>
      </w:r>
      <w:proofErr w:type="spellStart"/>
      <w:r w:rsidRPr="00EB6B96">
        <w:rPr>
          <w:rFonts w:asciiTheme="minorHAnsi" w:hAnsiTheme="minorHAnsi" w:cstheme="minorHAnsi"/>
          <w:i/>
          <w:color w:val="000000"/>
          <w:highlight w:val="white"/>
        </w:rPr>
        <w:t>Promet</w:t>
      </w:r>
      <w:proofErr w:type="spellEnd"/>
      <w:r w:rsidRPr="00EB6B96">
        <w:rPr>
          <w:rFonts w:asciiTheme="minorHAnsi" w:hAnsiTheme="minorHAnsi" w:cstheme="minorHAnsi"/>
          <w:i/>
          <w:color w:val="000000"/>
          <w:highlight w:val="white"/>
        </w:rPr>
        <w:t xml:space="preserve"> Traffic-</w:t>
      </w:r>
      <w:proofErr w:type="spellStart"/>
      <w:r w:rsidRPr="00EB6B96">
        <w:rPr>
          <w:rFonts w:asciiTheme="minorHAnsi" w:hAnsiTheme="minorHAnsi" w:cstheme="minorHAnsi"/>
          <w:i/>
          <w:color w:val="000000"/>
          <w:highlight w:val="white"/>
        </w:rPr>
        <w:t>Traffico</w:t>
      </w:r>
      <w:proofErr w:type="spellEnd"/>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15</w:t>
      </w:r>
      <w:r w:rsidRPr="00EB6B96">
        <w:rPr>
          <w:rFonts w:asciiTheme="minorHAnsi" w:hAnsiTheme="minorHAnsi" w:cstheme="minorHAnsi"/>
          <w:color w:val="000000"/>
          <w:highlight w:val="white"/>
        </w:rPr>
        <w:t xml:space="preserve">(3), 161-165. </w:t>
      </w:r>
    </w:p>
    <w:p w14:paraId="33F03BDD"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highlight w:val="white"/>
        </w:rPr>
      </w:pPr>
      <w:r w:rsidRPr="00EB6B96">
        <w:rPr>
          <w:rFonts w:asciiTheme="minorHAnsi" w:hAnsiTheme="minorHAnsi" w:cstheme="minorHAnsi"/>
          <w:color w:val="000000"/>
          <w:highlight w:val="white"/>
        </w:rPr>
        <w:lastRenderedPageBreak/>
        <w:t>Treat, P. J. (1940). Shanghai, January 28, 1932. </w:t>
      </w:r>
      <w:r w:rsidRPr="00EB6B96">
        <w:rPr>
          <w:rFonts w:asciiTheme="minorHAnsi" w:hAnsiTheme="minorHAnsi" w:cstheme="minorHAnsi"/>
          <w:i/>
          <w:color w:val="000000"/>
          <w:highlight w:val="white"/>
        </w:rPr>
        <w:t>Pacific Historical Review</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9</w:t>
      </w:r>
      <w:r w:rsidRPr="00EB6B96">
        <w:rPr>
          <w:rFonts w:asciiTheme="minorHAnsi" w:hAnsiTheme="minorHAnsi" w:cstheme="minorHAnsi"/>
          <w:color w:val="000000"/>
          <w:highlight w:val="white"/>
        </w:rPr>
        <w:t>(3), 337-343.</w:t>
      </w:r>
      <w:r w:rsidRPr="00EB6B96">
        <w:rPr>
          <w:rFonts w:asciiTheme="minorHAnsi" w:hAnsiTheme="minorHAnsi" w:cstheme="minorHAnsi"/>
          <w:color w:val="000000"/>
        </w:rPr>
        <w:t xml:space="preserve"> </w:t>
      </w:r>
      <w:hyperlink r:id="rId35">
        <w:r w:rsidRPr="00EB6B96">
          <w:rPr>
            <w:rFonts w:asciiTheme="minorHAnsi" w:hAnsiTheme="minorHAnsi" w:cstheme="minorHAnsi"/>
            <w:color w:val="4BACC6"/>
            <w:u w:val="single"/>
          </w:rPr>
          <w:t>https://doi.org/</w:t>
        </w:r>
      </w:hyperlink>
      <w:hyperlink r:id="rId36">
        <w:r w:rsidRPr="00EB6B96">
          <w:rPr>
            <w:rFonts w:asciiTheme="minorHAnsi" w:hAnsiTheme="minorHAnsi" w:cstheme="minorHAnsi"/>
            <w:color w:val="4BACC6"/>
            <w:highlight w:val="white"/>
            <w:u w:val="single"/>
          </w:rPr>
          <w:t>10.2307/3632911</w:t>
        </w:r>
      </w:hyperlink>
    </w:p>
    <w:p w14:paraId="22356DB8"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 xml:space="preserve">Wright, Q., 1955. </w:t>
      </w:r>
      <w:r w:rsidRPr="00EB6B96">
        <w:rPr>
          <w:rFonts w:asciiTheme="minorHAnsi" w:hAnsiTheme="minorHAnsi" w:cstheme="minorHAnsi"/>
          <w:color w:val="000000"/>
          <w:highlight w:val="white"/>
        </w:rPr>
        <w:t>Wright, Q. (1955). The Chinese Recognition Problem. </w:t>
      </w:r>
      <w:r w:rsidRPr="00EB6B96">
        <w:rPr>
          <w:rFonts w:asciiTheme="minorHAnsi" w:hAnsiTheme="minorHAnsi" w:cstheme="minorHAnsi"/>
          <w:i/>
          <w:color w:val="000000"/>
          <w:highlight w:val="white"/>
        </w:rPr>
        <w:t>American Journal of International Law</w:t>
      </w:r>
      <w:r w:rsidRPr="00EB6B96">
        <w:rPr>
          <w:rFonts w:asciiTheme="minorHAnsi" w:hAnsiTheme="minorHAnsi" w:cstheme="minorHAnsi"/>
          <w:color w:val="000000"/>
          <w:highlight w:val="white"/>
        </w:rPr>
        <w:t>, </w:t>
      </w:r>
      <w:r w:rsidRPr="00EB6B96">
        <w:rPr>
          <w:rFonts w:asciiTheme="minorHAnsi" w:hAnsiTheme="minorHAnsi" w:cstheme="minorHAnsi"/>
          <w:i/>
          <w:color w:val="000000"/>
          <w:highlight w:val="white"/>
        </w:rPr>
        <w:t>49</w:t>
      </w:r>
      <w:r w:rsidRPr="00EB6B96">
        <w:rPr>
          <w:rFonts w:asciiTheme="minorHAnsi" w:hAnsiTheme="minorHAnsi" w:cstheme="minorHAnsi"/>
          <w:color w:val="000000"/>
          <w:highlight w:val="white"/>
        </w:rPr>
        <w:t xml:space="preserve">(3), 320-338. </w:t>
      </w:r>
      <w:hyperlink r:id="rId37">
        <w:r w:rsidRPr="00EB6B96">
          <w:rPr>
            <w:rFonts w:asciiTheme="minorHAnsi" w:hAnsiTheme="minorHAnsi" w:cstheme="minorHAnsi"/>
            <w:color w:val="4BACC6"/>
            <w:u w:val="single"/>
          </w:rPr>
          <w:t>https://doi.org/10.2307/2194862</w:t>
        </w:r>
      </w:hyperlink>
    </w:p>
    <w:p w14:paraId="76BEFCEA" w14:textId="77777777" w:rsidR="00EA189D" w:rsidRPr="00EB6B96" w:rsidRDefault="00EA189D" w:rsidP="006B6923">
      <w:pPr>
        <w:pBdr>
          <w:top w:val="nil"/>
          <w:left w:val="nil"/>
          <w:bottom w:val="nil"/>
          <w:right w:val="nil"/>
          <w:between w:val="nil"/>
        </w:pBdr>
        <w:tabs>
          <w:tab w:val="left" w:pos="10080"/>
        </w:tabs>
        <w:ind w:left="720" w:right="-333" w:hanging="720"/>
        <w:rPr>
          <w:rFonts w:asciiTheme="minorHAnsi" w:hAnsiTheme="minorHAnsi" w:cstheme="minorHAnsi"/>
          <w:color w:val="000000"/>
        </w:rPr>
      </w:pPr>
      <w:r w:rsidRPr="00EB6B96">
        <w:rPr>
          <w:rFonts w:asciiTheme="minorHAnsi" w:hAnsiTheme="minorHAnsi" w:cstheme="minorHAnsi"/>
          <w:color w:val="000000"/>
        </w:rPr>
        <w:t>Wu, L., Liu, X., Ye, X., Leipnik, M., Lee, J., &amp; Zhu, X. (2015). Permeability, space syntax, and the patterning of residential burglaries in urban China. </w:t>
      </w:r>
      <w:r w:rsidRPr="00EB6B96">
        <w:rPr>
          <w:rFonts w:asciiTheme="minorHAnsi" w:hAnsiTheme="minorHAnsi" w:cstheme="minorHAnsi"/>
          <w:i/>
          <w:color w:val="000000"/>
        </w:rPr>
        <w:t>Applied Geography,</w:t>
      </w:r>
      <w:r w:rsidRPr="00EB6B96">
        <w:rPr>
          <w:rFonts w:asciiTheme="minorHAnsi" w:hAnsiTheme="minorHAnsi" w:cstheme="minorHAnsi"/>
          <w:color w:val="000000"/>
        </w:rPr>
        <w:t xml:space="preserve"> 60, 261-265. </w:t>
      </w:r>
      <w:hyperlink r:id="rId38">
        <w:r w:rsidRPr="00EB6B96">
          <w:rPr>
            <w:rFonts w:asciiTheme="minorHAnsi" w:hAnsiTheme="minorHAnsi" w:cstheme="minorHAnsi"/>
            <w:color w:val="4BACC6"/>
            <w:u w:val="single"/>
          </w:rPr>
          <w:t>https://doi.org/10.1016/j.apgeog.2014.12.001</w:t>
        </w:r>
      </w:hyperlink>
    </w:p>
    <w:p w14:paraId="189F2D83" w14:textId="77777777" w:rsidR="00334C00" w:rsidRPr="00EB6B96" w:rsidRDefault="00334C00" w:rsidP="006B6923">
      <w:pPr>
        <w:tabs>
          <w:tab w:val="left" w:pos="10080"/>
        </w:tabs>
        <w:ind w:right="-333"/>
        <w:rPr>
          <w:rFonts w:asciiTheme="minorHAnsi" w:hAnsiTheme="minorHAnsi" w:cstheme="minorHAnsi"/>
        </w:rPr>
      </w:pPr>
    </w:p>
    <w:bookmarkEnd w:id="1"/>
    <w:p w14:paraId="2DA1A97F" w14:textId="77777777" w:rsidR="00334C00" w:rsidRPr="00EB6B96" w:rsidRDefault="00334C00" w:rsidP="006B6923">
      <w:pPr>
        <w:tabs>
          <w:tab w:val="left" w:pos="8100"/>
          <w:tab w:val="left" w:pos="8280"/>
          <w:tab w:val="left" w:pos="10080"/>
        </w:tabs>
        <w:ind w:left="450" w:right="-333" w:hanging="630"/>
        <w:rPr>
          <w:rFonts w:asciiTheme="minorHAnsi" w:hAnsiTheme="minorHAnsi" w:cstheme="minorHAnsi"/>
        </w:rPr>
      </w:pPr>
    </w:p>
    <w:sectPr w:rsidR="00334C00" w:rsidRPr="00EB6B96" w:rsidSect="00EC554B">
      <w:type w:val="continuous"/>
      <w:pgSz w:w="11907" w:h="16839"/>
      <w:pgMar w:top="1008" w:right="1008" w:bottom="720" w:left="1008" w:header="432" w:footer="432" w:gutter="0"/>
      <w:cols w:space="720" w:equalWidth="0">
        <w:col w:w="9171"/>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47FA" w14:textId="77777777" w:rsidR="00EC3244" w:rsidRDefault="00EC3244">
      <w:r>
        <w:separator/>
      </w:r>
    </w:p>
  </w:endnote>
  <w:endnote w:type="continuationSeparator" w:id="0">
    <w:p w14:paraId="430D7E15" w14:textId="77777777" w:rsidR="00EC3244" w:rsidRDefault="00EC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imbusRomNo9L-Med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3FD1" w14:textId="03CEE9F4" w:rsidR="00942A8B" w:rsidRPr="00EA67F8" w:rsidRDefault="00102FED" w:rsidP="00942A8B">
    <w:pPr>
      <w:pBdr>
        <w:top w:val="single" w:sz="4" w:space="1" w:color="auto"/>
      </w:pBdr>
      <w:tabs>
        <w:tab w:val="center" w:pos="4680"/>
        <w:tab w:val="right" w:pos="9360"/>
      </w:tabs>
      <w:rPr>
        <w:rFonts w:cs="Arial"/>
        <w:sz w:val="18"/>
        <w:szCs w:val="18"/>
        <w:lang w:val="en-US"/>
      </w:rPr>
    </w:pPr>
    <w:r>
      <w:rPr>
        <w:rFonts w:cs="Arial"/>
        <w:sz w:val="18"/>
        <w:szCs w:val="18"/>
        <w:lang w:val="en-US"/>
      </w:rPr>
      <w:t xml:space="preserve">AIDC </w:t>
    </w:r>
    <w:r w:rsidR="00EA67F8" w:rsidRPr="00EA67F8">
      <w:rPr>
        <w:rFonts w:cs="Arial"/>
        <w:sz w:val="18"/>
        <w:szCs w:val="18"/>
        <w:lang w:val="en-US"/>
      </w:rPr>
      <w:t>202</w:t>
    </w:r>
    <w:r w:rsidR="00F4259B">
      <w:rPr>
        <w:rFonts w:cs="Arial"/>
        <w:sz w:val="18"/>
        <w:szCs w:val="18"/>
        <w:lang w:val="en-US"/>
      </w:rPr>
      <w:t>6</w:t>
    </w:r>
    <w:r w:rsidR="00EA67F8" w:rsidRPr="00EA67F8">
      <w:rPr>
        <w:rFonts w:cs="Arial"/>
        <w:sz w:val="18"/>
        <w:szCs w:val="18"/>
        <w:lang w:val="en-US"/>
      </w:rPr>
      <w:t xml:space="preserve"> Conference Full Paper Proceedings Book</w:t>
    </w:r>
    <w:r w:rsidR="00942A8B">
      <w:rPr>
        <w:rFonts w:cs="Arial"/>
        <w:sz w:val="18"/>
        <w:szCs w:val="18"/>
        <w:lang w:val="en-US"/>
      </w:rPr>
      <w:t xml:space="preserve">                                                                                                                               </w:t>
    </w:r>
    <w:sdt>
      <w:sdtPr>
        <w:rPr>
          <w:rFonts w:cs="Arial"/>
          <w:sz w:val="18"/>
          <w:szCs w:val="18"/>
          <w:lang w:val="en-US"/>
        </w:rPr>
        <w:id w:val="1832795114"/>
        <w:docPartObj>
          <w:docPartGallery w:val="Page Numbers (Bottom of Page)"/>
          <w:docPartUnique/>
        </w:docPartObj>
      </w:sdtPr>
      <w:sdtEndPr>
        <w:rPr>
          <w:noProof/>
        </w:rPr>
      </w:sdtEndPr>
      <w:sdtContent>
        <w:r w:rsidR="00942A8B">
          <w:rPr>
            <w:rFonts w:cs="Arial"/>
            <w:sz w:val="18"/>
            <w:szCs w:val="18"/>
            <w:lang w:val="en-US"/>
          </w:rPr>
          <w:t xml:space="preserve">Page </w:t>
        </w:r>
        <w:r w:rsidR="00942A8B" w:rsidRPr="00EA67F8">
          <w:rPr>
            <w:rFonts w:cs="Arial"/>
            <w:sz w:val="18"/>
            <w:szCs w:val="18"/>
            <w:lang w:val="en-US"/>
          </w:rPr>
          <w:fldChar w:fldCharType="begin"/>
        </w:r>
        <w:r w:rsidR="00942A8B" w:rsidRPr="00EA67F8">
          <w:rPr>
            <w:rFonts w:cs="Arial"/>
            <w:sz w:val="18"/>
            <w:szCs w:val="18"/>
            <w:lang w:val="en-US"/>
          </w:rPr>
          <w:instrText xml:space="preserve"> PAGE   \* MERGEFORMAT </w:instrText>
        </w:r>
        <w:r w:rsidR="00942A8B" w:rsidRPr="00EA67F8">
          <w:rPr>
            <w:rFonts w:cs="Arial"/>
            <w:sz w:val="18"/>
            <w:szCs w:val="18"/>
            <w:lang w:val="en-US"/>
          </w:rPr>
          <w:fldChar w:fldCharType="separate"/>
        </w:r>
        <w:r w:rsidR="00942A8B">
          <w:rPr>
            <w:rFonts w:cs="Arial"/>
            <w:sz w:val="18"/>
            <w:szCs w:val="18"/>
            <w:lang w:val="en-US"/>
          </w:rPr>
          <w:t>4</w:t>
        </w:r>
        <w:r w:rsidR="00942A8B" w:rsidRPr="00EA67F8">
          <w:rPr>
            <w:rFonts w:cs="Arial"/>
            <w:noProof/>
            <w:sz w:val="18"/>
            <w:szCs w:val="18"/>
            <w:lang w:val="en-US"/>
          </w:rPr>
          <w:fldChar w:fldCharType="end"/>
        </w:r>
      </w:sdtContent>
    </w:sdt>
  </w:p>
  <w:p w14:paraId="631C50FD" w14:textId="2C619FBF" w:rsidR="00102FED" w:rsidRPr="00EA67F8" w:rsidRDefault="00F4259B" w:rsidP="00F4259B">
    <w:pPr>
      <w:tabs>
        <w:tab w:val="center" w:pos="4680"/>
        <w:tab w:val="right" w:pos="9360"/>
      </w:tabs>
      <w:jc w:val="left"/>
      <w:rPr>
        <w:rFonts w:cs="Arial"/>
        <w:sz w:val="18"/>
        <w:szCs w:val="18"/>
        <w:lang w:val="en-US"/>
      </w:rPr>
    </w:pPr>
    <w:hyperlink r:id="rId1" w:history="1">
      <w:r w:rsidRPr="00F4259B">
        <w:rPr>
          <w:rStyle w:val="Hyperlink"/>
        </w:rPr>
        <w:t>AIDC 2026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5B7" w14:textId="77777777" w:rsidR="00EC3244" w:rsidRDefault="00EC3244">
      <w:r>
        <w:separator/>
      </w:r>
    </w:p>
  </w:footnote>
  <w:footnote w:type="continuationSeparator" w:id="0">
    <w:p w14:paraId="294B08F0" w14:textId="77777777" w:rsidR="00EC3244" w:rsidRDefault="00EC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9436" w14:textId="77777777" w:rsidR="00102FED" w:rsidRDefault="00102FED" w:rsidP="00102FED">
    <w:pPr>
      <w:pStyle w:val="Header"/>
      <w:rPr>
        <w:rFonts w:ascii="NimbusRomNo9L-Medi" w:eastAsia="NimbusRomNo9L-Medi" w:hAnsi="NimbusRomNo9L-Medi" w:cs="NimbusRomNo9L-Medi"/>
        <w:color w:val="000000"/>
        <w:sz w:val="18"/>
        <w:szCs w:val="18"/>
      </w:rPr>
    </w:pPr>
  </w:p>
  <w:p w14:paraId="49BE8376" w14:textId="77777777" w:rsidR="00A243D6" w:rsidRDefault="00A243D6" w:rsidP="00A243D6">
    <w:pPr>
      <w:pStyle w:val="Header"/>
      <w:rPr>
        <w:rFonts w:ascii="NimbusRomNo9L-Medi" w:eastAsia="NimbusRomNo9L-Medi" w:hAnsi="NimbusRomNo9L-Medi" w:cs="NimbusRomNo9L-Medi"/>
        <w:color w:val="000000"/>
        <w:sz w:val="18"/>
        <w:szCs w:val="18"/>
      </w:rPr>
    </w:pPr>
  </w:p>
  <w:p w14:paraId="0301FB5F" w14:textId="1037A913" w:rsidR="00A243D6" w:rsidRPr="00A243D6" w:rsidRDefault="00A243D6" w:rsidP="00FD2626">
    <w:pPr>
      <w:pStyle w:val="Header"/>
      <w:jc w:val="left"/>
      <w:rPr>
        <w:rFonts w:ascii="NimbusRomNo9L-Medi" w:eastAsia="NimbusRomNo9L-Medi" w:hAnsi="NimbusRomNo9L-Medi" w:cs="NimbusRomNo9L-Medi"/>
        <w:color w:val="000000"/>
        <w:sz w:val="18"/>
        <w:szCs w:val="18"/>
      </w:rPr>
    </w:pPr>
    <w:bookmarkStart w:id="2" w:name="_Hlk192497196"/>
    <w:r>
      <w:rPr>
        <w:rFonts w:ascii="NimbusRomNo9L-Medi" w:eastAsia="NimbusRomNo9L-Medi" w:hAnsi="NimbusRomNo9L-Medi" w:cs="NimbusRomNo9L-Medi"/>
        <w:color w:val="000000"/>
        <w:sz w:val="18"/>
        <w:szCs w:val="18"/>
      </w:rPr>
      <w:t xml:space="preserve"> Acharya International Design Conference </w:t>
    </w:r>
    <w:proofErr w:type="gramStart"/>
    <w:r>
      <w:rPr>
        <w:rFonts w:ascii="NimbusRomNo9L-Medi" w:eastAsia="NimbusRomNo9L-Medi" w:hAnsi="NimbusRomNo9L-Medi" w:cs="NimbusRomNo9L-Medi"/>
        <w:color w:val="000000"/>
        <w:sz w:val="18"/>
        <w:szCs w:val="18"/>
      </w:rPr>
      <w:t>202</w:t>
    </w:r>
    <w:r w:rsidR="00F4259B">
      <w:rPr>
        <w:rFonts w:ascii="NimbusRomNo9L-Medi" w:eastAsia="NimbusRomNo9L-Medi" w:hAnsi="NimbusRomNo9L-Medi" w:cs="NimbusRomNo9L-Medi"/>
        <w:color w:val="000000"/>
        <w:sz w:val="18"/>
        <w:szCs w:val="18"/>
      </w:rPr>
      <w:t>6</w:t>
    </w:r>
    <w:r w:rsidR="00FD2626">
      <w:rPr>
        <w:rFonts w:ascii="NimbusRomNo9L-Medi" w:eastAsia="NimbusRomNo9L-Medi" w:hAnsi="NimbusRomNo9L-Medi" w:cs="NimbusRomNo9L-Medi"/>
        <w:color w:val="000000"/>
        <w:sz w:val="18"/>
        <w:szCs w:val="18"/>
      </w:rPr>
      <w:t xml:space="preserve">,  </w:t>
    </w:r>
    <w:r w:rsidR="00F4259B">
      <w:rPr>
        <w:rFonts w:ascii="NimbusRomNo9L-Medi" w:eastAsia="NimbusRomNo9L-Medi" w:hAnsi="NimbusRomNo9L-Medi" w:cs="NimbusRomNo9L-Medi"/>
        <w:color w:val="000000"/>
        <w:sz w:val="18"/>
        <w:szCs w:val="18"/>
      </w:rPr>
      <w:t>13</w:t>
    </w:r>
    <w:proofErr w:type="gramEnd"/>
    <w:r w:rsidRPr="00102FED">
      <w:rPr>
        <w:rFonts w:ascii="NimbusRomNo9L-Medi" w:eastAsia="NimbusRomNo9L-Medi" w:hAnsi="NimbusRomNo9L-Medi" w:cs="NimbusRomNo9L-Medi"/>
        <w:color w:val="000000"/>
        <w:sz w:val="18"/>
        <w:szCs w:val="18"/>
      </w:rPr>
      <w:t xml:space="preserve">th - </w:t>
    </w:r>
    <w:r w:rsidR="00F4259B">
      <w:rPr>
        <w:rFonts w:ascii="NimbusRomNo9L-Medi" w:eastAsia="NimbusRomNo9L-Medi" w:hAnsi="NimbusRomNo9L-Medi" w:cs="NimbusRomNo9L-Medi"/>
        <w:color w:val="000000"/>
        <w:sz w:val="18"/>
        <w:szCs w:val="18"/>
      </w:rPr>
      <w:t>15</w:t>
    </w:r>
    <w:r w:rsidRPr="00102FED">
      <w:rPr>
        <w:rFonts w:ascii="NimbusRomNo9L-Medi" w:eastAsia="NimbusRomNo9L-Medi" w:hAnsi="NimbusRomNo9L-Medi" w:cs="NimbusRomNo9L-Medi"/>
        <w:color w:val="000000"/>
        <w:sz w:val="18"/>
        <w:szCs w:val="18"/>
      </w:rPr>
      <w:t>th May 202</w:t>
    </w:r>
    <w:r w:rsidR="00F4259B">
      <w:rPr>
        <w:rFonts w:ascii="NimbusRomNo9L-Medi" w:eastAsia="NimbusRomNo9L-Medi" w:hAnsi="NimbusRomNo9L-Medi" w:cs="NimbusRomNo9L-Medi"/>
        <w:color w:val="000000"/>
        <w:sz w:val="18"/>
        <w:szCs w:val="18"/>
      </w:rPr>
      <w:t>6</w:t>
    </w:r>
    <w:r w:rsidRPr="00102FED">
      <w:rPr>
        <w:rFonts w:ascii="NimbusRomNo9L-Medi" w:eastAsia="NimbusRomNo9L-Medi" w:hAnsi="NimbusRomNo9L-Medi" w:cs="NimbusRomNo9L-Medi"/>
        <w:color w:val="000000"/>
        <w:sz w:val="18"/>
        <w:szCs w:val="18"/>
      </w:rPr>
      <w:t>, Acharya Institutes, Bangalore</w:t>
    </w:r>
  </w:p>
  <w:p w14:paraId="7E150D73" w14:textId="123D4950" w:rsidR="00A243D6" w:rsidRDefault="00A243D6" w:rsidP="00645634">
    <w:pPr>
      <w:pStyle w:val="Header"/>
      <w:jc w:val="center"/>
      <w:rPr>
        <w:rFonts w:ascii="NimbusRomNo9L-Medi" w:eastAsia="NimbusRomNo9L-Medi" w:hAnsi="NimbusRomNo9L-Medi" w:cs="NimbusRomNo9L-Medi"/>
        <w:color w:val="000000"/>
        <w:sz w:val="18"/>
        <w:szCs w:val="18"/>
      </w:rPr>
    </w:pPr>
  </w:p>
  <w:bookmarkEnd w:id="2"/>
  <w:p w14:paraId="75192255" w14:textId="21642650" w:rsidR="00A243D6" w:rsidRPr="00102FED" w:rsidRDefault="00A243D6" w:rsidP="00A243D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A33"/>
    <w:multiLevelType w:val="multilevel"/>
    <w:tmpl w:val="C86EB7C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BE91003"/>
    <w:multiLevelType w:val="multilevel"/>
    <w:tmpl w:val="D9D095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21DF16B9"/>
    <w:multiLevelType w:val="multilevel"/>
    <w:tmpl w:val="B806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330BD"/>
    <w:multiLevelType w:val="multilevel"/>
    <w:tmpl w:val="F524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E1845"/>
    <w:multiLevelType w:val="multilevel"/>
    <w:tmpl w:val="7FA8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145F8"/>
    <w:multiLevelType w:val="multilevel"/>
    <w:tmpl w:val="F3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207BA"/>
    <w:multiLevelType w:val="multilevel"/>
    <w:tmpl w:val="1CA6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12E16"/>
    <w:multiLevelType w:val="multilevel"/>
    <w:tmpl w:val="6F766EA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5B1340F4"/>
    <w:multiLevelType w:val="multilevel"/>
    <w:tmpl w:val="2838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659061">
    <w:abstractNumId w:val="1"/>
  </w:num>
  <w:num w:numId="2" w16cid:durableId="716468864">
    <w:abstractNumId w:val="0"/>
  </w:num>
  <w:num w:numId="3" w16cid:durableId="64885331">
    <w:abstractNumId w:val="7"/>
  </w:num>
  <w:num w:numId="4" w16cid:durableId="585916547">
    <w:abstractNumId w:val="4"/>
  </w:num>
  <w:num w:numId="5" w16cid:durableId="496074701">
    <w:abstractNumId w:val="8"/>
  </w:num>
  <w:num w:numId="6" w16cid:durableId="511605964">
    <w:abstractNumId w:val="3"/>
  </w:num>
  <w:num w:numId="7" w16cid:durableId="1303073292">
    <w:abstractNumId w:val="5"/>
  </w:num>
  <w:num w:numId="8" w16cid:durableId="559679178">
    <w:abstractNumId w:val="2"/>
  </w:num>
  <w:num w:numId="9" w16cid:durableId="491795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MjI0sjQyMTE3NjNT0lEKTi0uzszPAykwNK8FAA0dN5ItAAAA"/>
  </w:docVars>
  <w:rsids>
    <w:rsidRoot w:val="00334C00"/>
    <w:rsid w:val="00013AF8"/>
    <w:rsid w:val="00016942"/>
    <w:rsid w:val="00031A24"/>
    <w:rsid w:val="0004168E"/>
    <w:rsid w:val="00063228"/>
    <w:rsid w:val="000A3922"/>
    <w:rsid w:val="000C4723"/>
    <w:rsid w:val="00100527"/>
    <w:rsid w:val="00102FED"/>
    <w:rsid w:val="00103999"/>
    <w:rsid w:val="00111AC9"/>
    <w:rsid w:val="00120235"/>
    <w:rsid w:val="00122795"/>
    <w:rsid w:val="001340DC"/>
    <w:rsid w:val="001368E6"/>
    <w:rsid w:val="0016363F"/>
    <w:rsid w:val="0017167C"/>
    <w:rsid w:val="00174140"/>
    <w:rsid w:val="001A09D8"/>
    <w:rsid w:val="001C667C"/>
    <w:rsid w:val="001E3C61"/>
    <w:rsid w:val="001F634F"/>
    <w:rsid w:val="00212234"/>
    <w:rsid w:val="00222966"/>
    <w:rsid w:val="002313F8"/>
    <w:rsid w:val="00234146"/>
    <w:rsid w:val="0025286B"/>
    <w:rsid w:val="00263A3E"/>
    <w:rsid w:val="00291199"/>
    <w:rsid w:val="002A728F"/>
    <w:rsid w:val="002D1091"/>
    <w:rsid w:val="002D4B43"/>
    <w:rsid w:val="002D51F2"/>
    <w:rsid w:val="00302881"/>
    <w:rsid w:val="0031794F"/>
    <w:rsid w:val="003203B7"/>
    <w:rsid w:val="00334C00"/>
    <w:rsid w:val="003452FF"/>
    <w:rsid w:val="00347E72"/>
    <w:rsid w:val="003678A9"/>
    <w:rsid w:val="00372815"/>
    <w:rsid w:val="0039613F"/>
    <w:rsid w:val="003B56DA"/>
    <w:rsid w:val="003C0E08"/>
    <w:rsid w:val="003C17DB"/>
    <w:rsid w:val="003C7061"/>
    <w:rsid w:val="003D1B8B"/>
    <w:rsid w:val="003D4093"/>
    <w:rsid w:val="003D5B93"/>
    <w:rsid w:val="003E6D94"/>
    <w:rsid w:val="003F0C82"/>
    <w:rsid w:val="0041381A"/>
    <w:rsid w:val="00424B21"/>
    <w:rsid w:val="004463EB"/>
    <w:rsid w:val="00457082"/>
    <w:rsid w:val="00481D84"/>
    <w:rsid w:val="004850B9"/>
    <w:rsid w:val="004C0190"/>
    <w:rsid w:val="004D28F7"/>
    <w:rsid w:val="004D6438"/>
    <w:rsid w:val="00500849"/>
    <w:rsid w:val="0051702E"/>
    <w:rsid w:val="00526B90"/>
    <w:rsid w:val="0054174A"/>
    <w:rsid w:val="00542A46"/>
    <w:rsid w:val="00565146"/>
    <w:rsid w:val="00570FC3"/>
    <w:rsid w:val="00571873"/>
    <w:rsid w:val="00580C9E"/>
    <w:rsid w:val="005938CE"/>
    <w:rsid w:val="00593F5C"/>
    <w:rsid w:val="005A4A63"/>
    <w:rsid w:val="005D59B7"/>
    <w:rsid w:val="006029AD"/>
    <w:rsid w:val="006165A3"/>
    <w:rsid w:val="006215F1"/>
    <w:rsid w:val="00645634"/>
    <w:rsid w:val="0068226D"/>
    <w:rsid w:val="006B211E"/>
    <w:rsid w:val="006B6923"/>
    <w:rsid w:val="007155F7"/>
    <w:rsid w:val="007301B0"/>
    <w:rsid w:val="007772AB"/>
    <w:rsid w:val="00786ECF"/>
    <w:rsid w:val="007B3B12"/>
    <w:rsid w:val="007D15DB"/>
    <w:rsid w:val="007E5A1E"/>
    <w:rsid w:val="007F4E7D"/>
    <w:rsid w:val="007F6410"/>
    <w:rsid w:val="0081102D"/>
    <w:rsid w:val="00813227"/>
    <w:rsid w:val="00813A20"/>
    <w:rsid w:val="0081534C"/>
    <w:rsid w:val="008465F0"/>
    <w:rsid w:val="00847CB3"/>
    <w:rsid w:val="00881DBD"/>
    <w:rsid w:val="008A631D"/>
    <w:rsid w:val="008C0B75"/>
    <w:rsid w:val="008C7B0A"/>
    <w:rsid w:val="008E13A4"/>
    <w:rsid w:val="008E2264"/>
    <w:rsid w:val="008E7EF8"/>
    <w:rsid w:val="008F46ED"/>
    <w:rsid w:val="008F6C6F"/>
    <w:rsid w:val="009040F5"/>
    <w:rsid w:val="00914F99"/>
    <w:rsid w:val="00920F17"/>
    <w:rsid w:val="00931DF7"/>
    <w:rsid w:val="00942A8B"/>
    <w:rsid w:val="009444CF"/>
    <w:rsid w:val="00953779"/>
    <w:rsid w:val="0096458B"/>
    <w:rsid w:val="00997E30"/>
    <w:rsid w:val="009A05BE"/>
    <w:rsid w:val="009A203D"/>
    <w:rsid w:val="009A2CC1"/>
    <w:rsid w:val="009C1861"/>
    <w:rsid w:val="009D5F02"/>
    <w:rsid w:val="00A243D6"/>
    <w:rsid w:val="00A36138"/>
    <w:rsid w:val="00A45327"/>
    <w:rsid w:val="00A47D0E"/>
    <w:rsid w:val="00A51C6F"/>
    <w:rsid w:val="00A53D45"/>
    <w:rsid w:val="00A670F2"/>
    <w:rsid w:val="00A747A1"/>
    <w:rsid w:val="00A8127C"/>
    <w:rsid w:val="00AA152C"/>
    <w:rsid w:val="00AB72B9"/>
    <w:rsid w:val="00AC282B"/>
    <w:rsid w:val="00B0413E"/>
    <w:rsid w:val="00B125C8"/>
    <w:rsid w:val="00B37B42"/>
    <w:rsid w:val="00B64135"/>
    <w:rsid w:val="00B76CA6"/>
    <w:rsid w:val="00B779D6"/>
    <w:rsid w:val="00B77F1F"/>
    <w:rsid w:val="00B813B1"/>
    <w:rsid w:val="00B82023"/>
    <w:rsid w:val="00B90CCD"/>
    <w:rsid w:val="00BA0778"/>
    <w:rsid w:val="00BA4134"/>
    <w:rsid w:val="00BB3535"/>
    <w:rsid w:val="00BC72EF"/>
    <w:rsid w:val="00BE3EB5"/>
    <w:rsid w:val="00BE5E74"/>
    <w:rsid w:val="00C269A7"/>
    <w:rsid w:val="00C456B5"/>
    <w:rsid w:val="00C51A74"/>
    <w:rsid w:val="00C7342A"/>
    <w:rsid w:val="00C877F6"/>
    <w:rsid w:val="00C9377F"/>
    <w:rsid w:val="00CD2740"/>
    <w:rsid w:val="00CD599C"/>
    <w:rsid w:val="00CE04C1"/>
    <w:rsid w:val="00CE230A"/>
    <w:rsid w:val="00CF0A30"/>
    <w:rsid w:val="00CF37F2"/>
    <w:rsid w:val="00D27380"/>
    <w:rsid w:val="00D34D85"/>
    <w:rsid w:val="00D829D4"/>
    <w:rsid w:val="00DA05AE"/>
    <w:rsid w:val="00DA615E"/>
    <w:rsid w:val="00DD01A3"/>
    <w:rsid w:val="00DD4C0E"/>
    <w:rsid w:val="00E22549"/>
    <w:rsid w:val="00E5185B"/>
    <w:rsid w:val="00E6153A"/>
    <w:rsid w:val="00EA0F05"/>
    <w:rsid w:val="00EA189D"/>
    <w:rsid w:val="00EA3EC0"/>
    <w:rsid w:val="00EA5C81"/>
    <w:rsid w:val="00EA67F8"/>
    <w:rsid w:val="00EB6B96"/>
    <w:rsid w:val="00EB6CFD"/>
    <w:rsid w:val="00EC3244"/>
    <w:rsid w:val="00EC554B"/>
    <w:rsid w:val="00EF7D3A"/>
    <w:rsid w:val="00F07691"/>
    <w:rsid w:val="00F33B01"/>
    <w:rsid w:val="00F37B08"/>
    <w:rsid w:val="00F41C17"/>
    <w:rsid w:val="00F4259B"/>
    <w:rsid w:val="00F47415"/>
    <w:rsid w:val="00F53545"/>
    <w:rsid w:val="00F5485D"/>
    <w:rsid w:val="00F9282C"/>
    <w:rsid w:val="00FA1F14"/>
    <w:rsid w:val="00FA6B0B"/>
    <w:rsid w:val="00FB1ABF"/>
    <w:rsid w:val="00FC1E61"/>
    <w:rsid w:val="00FC4401"/>
    <w:rsid w:val="00FD2626"/>
    <w:rsid w:val="00FE3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5A91E"/>
  <w15:docId w15:val="{FBDEB172-F2E9-4982-9AD7-C13246DA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0"/>
  </w:style>
  <w:style w:type="paragraph" w:styleId="Heading1">
    <w:name w:val="heading 1"/>
    <w:basedOn w:val="Normal"/>
    <w:next w:val="Normal"/>
    <w:link w:val="Heading1Char"/>
    <w:uiPriority w:val="9"/>
    <w:qFormat/>
    <w:rsid w:val="009A05BE"/>
    <w:pPr>
      <w:keepNext/>
      <w:keepLines/>
      <w:spacing w:after="36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A05BE"/>
    <w:pPr>
      <w:keepNext/>
      <w:keepLines/>
      <w:spacing w:before="120"/>
      <w:jc w:val="left"/>
      <w:outlineLvl w:val="1"/>
    </w:pPr>
    <w:rPr>
      <w:b/>
      <w:szCs w:val="36"/>
      <w:lang w:val="en-US" w:eastAsia="fr-FR"/>
    </w:rPr>
  </w:style>
  <w:style w:type="paragraph" w:styleId="Heading3">
    <w:name w:val="heading 3"/>
    <w:basedOn w:val="Normal"/>
    <w:next w:val="Normal"/>
    <w:link w:val="Heading3Char"/>
    <w:uiPriority w:val="9"/>
    <w:unhideWhenUsed/>
    <w:qFormat/>
    <w:rsid w:val="009A05BE"/>
    <w:pPr>
      <w:keepNext/>
      <w:keepLines/>
      <w:spacing w:before="120"/>
      <w:jc w:val="left"/>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9A05BE"/>
    <w:pPr>
      <w:keepNext/>
      <w:keepLines/>
      <w:spacing w:before="12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semiHidden/>
    <w:rsid w:val="001D2EF4"/>
    <w:pPr>
      <w:autoSpaceDE w:val="0"/>
      <w:autoSpaceDN w:val="0"/>
      <w:ind w:firstLine="202"/>
    </w:pPr>
    <w:rPr>
      <w:rFonts w:ascii="Times New Roman" w:eastAsia="PMingLiU" w:hAnsi="Times New Roman" w:cs="Times New Roman"/>
      <w:sz w:val="16"/>
      <w:szCs w:val="16"/>
      <w:lang w:val="en-US"/>
    </w:rPr>
  </w:style>
  <w:style w:type="character" w:customStyle="1" w:styleId="FootnoteTextChar">
    <w:name w:val="Footnote Text Char"/>
    <w:basedOn w:val="DefaultParagraphFont"/>
    <w:link w:val="FootnoteText"/>
    <w:semiHidden/>
    <w:rsid w:val="001D2EF4"/>
    <w:rPr>
      <w:rFonts w:ascii="Times New Roman" w:eastAsia="PMingLiU" w:hAnsi="Times New Roman" w:cs="Times New Roman"/>
      <w:sz w:val="16"/>
      <w:szCs w:val="16"/>
      <w:lang w:val="en-US"/>
    </w:rPr>
  </w:style>
  <w:style w:type="paragraph" w:styleId="ListParagraph">
    <w:name w:val="List Paragraph"/>
    <w:basedOn w:val="Normal"/>
    <w:uiPriority w:val="34"/>
    <w:qFormat/>
    <w:rsid w:val="006E78D7"/>
    <w:pPr>
      <w:ind w:left="720"/>
      <w:contextualSpacing/>
    </w:pPr>
  </w:style>
  <w:style w:type="paragraph" w:styleId="BalloonText">
    <w:name w:val="Balloon Text"/>
    <w:basedOn w:val="Normal"/>
    <w:link w:val="BalloonTextChar"/>
    <w:uiPriority w:val="99"/>
    <w:semiHidden/>
    <w:unhideWhenUsed/>
    <w:rsid w:val="006E78D7"/>
    <w:rPr>
      <w:rFonts w:ascii="Tahoma" w:hAnsi="Tahoma" w:cs="Tahoma"/>
      <w:sz w:val="16"/>
      <w:szCs w:val="16"/>
    </w:rPr>
  </w:style>
  <w:style w:type="character" w:customStyle="1" w:styleId="BalloonTextChar">
    <w:name w:val="Balloon Text Char"/>
    <w:basedOn w:val="DefaultParagraphFont"/>
    <w:link w:val="BalloonText"/>
    <w:uiPriority w:val="99"/>
    <w:semiHidden/>
    <w:rsid w:val="006E78D7"/>
    <w:rPr>
      <w:rFonts w:ascii="Tahoma" w:hAnsi="Tahoma" w:cs="Tahoma"/>
      <w:sz w:val="16"/>
      <w:szCs w:val="16"/>
      <w:lang w:val="en-GB"/>
    </w:rPr>
  </w:style>
  <w:style w:type="paragraph" w:styleId="Caption">
    <w:name w:val="caption"/>
    <w:basedOn w:val="Normal"/>
    <w:next w:val="Normal"/>
    <w:uiPriority w:val="35"/>
    <w:unhideWhenUsed/>
    <w:qFormat/>
    <w:rsid w:val="006E78D7"/>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9A05BE"/>
    <w:rPr>
      <w:b/>
      <w:szCs w:val="36"/>
      <w:lang w:val="en-US" w:eastAsia="fr-FR"/>
    </w:rPr>
  </w:style>
  <w:style w:type="paragraph" w:styleId="Header">
    <w:name w:val="header"/>
    <w:basedOn w:val="Normal"/>
    <w:link w:val="HeaderChar"/>
    <w:uiPriority w:val="99"/>
    <w:unhideWhenUsed/>
    <w:rsid w:val="00311CC2"/>
    <w:pPr>
      <w:tabs>
        <w:tab w:val="center" w:pos="4536"/>
        <w:tab w:val="right" w:pos="9072"/>
      </w:tabs>
    </w:pPr>
  </w:style>
  <w:style w:type="character" w:customStyle="1" w:styleId="HeaderChar">
    <w:name w:val="Header Char"/>
    <w:basedOn w:val="DefaultParagraphFont"/>
    <w:link w:val="Header"/>
    <w:uiPriority w:val="99"/>
    <w:rsid w:val="00311CC2"/>
    <w:rPr>
      <w:sz w:val="20"/>
      <w:szCs w:val="20"/>
      <w:lang w:val="en-GB"/>
    </w:rPr>
  </w:style>
  <w:style w:type="paragraph" w:styleId="Footer">
    <w:name w:val="footer"/>
    <w:basedOn w:val="Normal"/>
    <w:link w:val="FooterChar"/>
    <w:uiPriority w:val="99"/>
    <w:unhideWhenUsed/>
    <w:rsid w:val="00311CC2"/>
    <w:pPr>
      <w:tabs>
        <w:tab w:val="center" w:pos="4536"/>
        <w:tab w:val="right" w:pos="9072"/>
      </w:tabs>
    </w:pPr>
  </w:style>
  <w:style w:type="character" w:customStyle="1" w:styleId="FooterChar">
    <w:name w:val="Footer Char"/>
    <w:basedOn w:val="DefaultParagraphFont"/>
    <w:link w:val="Footer"/>
    <w:uiPriority w:val="99"/>
    <w:rsid w:val="00311CC2"/>
    <w:rPr>
      <w:sz w:val="20"/>
      <w:szCs w:val="20"/>
      <w:lang w:val="en-GB"/>
    </w:rPr>
  </w:style>
  <w:style w:type="character" w:customStyle="1" w:styleId="Heading1Char">
    <w:name w:val="Heading 1 Char"/>
    <w:basedOn w:val="DefaultParagraphFont"/>
    <w:link w:val="Heading1"/>
    <w:uiPriority w:val="9"/>
    <w:rsid w:val="009A05BE"/>
    <w:rPr>
      <w:rFonts w:eastAsiaTheme="majorEastAsia" w:cstheme="majorBidi"/>
      <w:b/>
      <w:bCs/>
      <w:sz w:val="28"/>
      <w:szCs w:val="28"/>
    </w:rPr>
  </w:style>
  <w:style w:type="character" w:styleId="Hyperlink">
    <w:name w:val="Hyperlink"/>
    <w:basedOn w:val="DefaultParagraphFont"/>
    <w:uiPriority w:val="99"/>
    <w:unhideWhenUsed/>
    <w:rsid w:val="00A95374"/>
    <w:rPr>
      <w:color w:val="0000FF" w:themeColor="hyperlink"/>
      <w:u w:val="single"/>
    </w:rPr>
  </w:style>
  <w:style w:type="paragraph" w:customStyle="1" w:styleId="Default">
    <w:name w:val="Default"/>
    <w:rsid w:val="007848B0"/>
    <w:pPr>
      <w:autoSpaceDE w:val="0"/>
      <w:autoSpaceDN w:val="0"/>
      <w:adjustRightInd w:val="0"/>
    </w:pPr>
    <w:rPr>
      <w:rFonts w:ascii="Times New Roman" w:hAnsi="Times New Roman" w:cs="Times New Roman"/>
      <w:color w:val="000000"/>
      <w:sz w:val="24"/>
      <w:szCs w:val="24"/>
      <w:lang w:val="en-US"/>
    </w:rPr>
  </w:style>
  <w:style w:type="character" w:customStyle="1" w:styleId="citation">
    <w:name w:val="citation"/>
    <w:basedOn w:val="DefaultParagraphFont"/>
    <w:rsid w:val="007848B0"/>
  </w:style>
  <w:style w:type="paragraph" w:customStyle="1" w:styleId="Pa30">
    <w:name w:val="Pa30"/>
    <w:basedOn w:val="Normal"/>
    <w:next w:val="Normal"/>
    <w:uiPriority w:val="99"/>
    <w:rsid w:val="007848B0"/>
    <w:pPr>
      <w:autoSpaceDE w:val="0"/>
      <w:autoSpaceDN w:val="0"/>
      <w:adjustRightInd w:val="0"/>
      <w:spacing w:line="181" w:lineRule="atLeast"/>
      <w:jc w:val="left"/>
    </w:pPr>
    <w:rPr>
      <w:rFonts w:ascii="Times New Roman" w:hAnsi="Times New Roman" w:cs="Times New Roman"/>
      <w:sz w:val="24"/>
      <w:szCs w:val="24"/>
      <w:lang w:val="en-US"/>
    </w:rPr>
  </w:style>
  <w:style w:type="character" w:customStyle="1" w:styleId="reference-text">
    <w:name w:val="reference-text"/>
    <w:basedOn w:val="DefaultParagraphFont"/>
    <w:rsid w:val="007848B0"/>
  </w:style>
  <w:style w:type="character" w:styleId="HTMLCite">
    <w:name w:val="HTML Cite"/>
    <w:basedOn w:val="DefaultParagraphFont"/>
    <w:uiPriority w:val="99"/>
    <w:semiHidden/>
    <w:unhideWhenUsed/>
    <w:rsid w:val="007848B0"/>
    <w:rPr>
      <w:i/>
      <w:iCs/>
    </w:rPr>
  </w:style>
  <w:style w:type="character" w:customStyle="1" w:styleId="apple-converted-space">
    <w:name w:val="apple-converted-space"/>
    <w:basedOn w:val="DefaultParagraphFont"/>
    <w:rsid w:val="007848B0"/>
  </w:style>
  <w:style w:type="character" w:styleId="Emphasis">
    <w:name w:val="Emphasis"/>
    <w:basedOn w:val="DefaultParagraphFont"/>
    <w:uiPriority w:val="20"/>
    <w:qFormat/>
    <w:rsid w:val="007848B0"/>
    <w:rPr>
      <w:i/>
      <w:iCs/>
    </w:rPr>
  </w:style>
  <w:style w:type="paragraph" w:styleId="Bibliography">
    <w:name w:val="Bibliography"/>
    <w:basedOn w:val="Normal"/>
    <w:next w:val="Normal"/>
    <w:unhideWhenUsed/>
    <w:rsid w:val="00FF007C"/>
    <w:pPr>
      <w:jc w:val="left"/>
    </w:pPr>
    <w:rPr>
      <w:rFonts w:cs="Arial"/>
      <w:lang w:eastAsia="en-GB"/>
    </w:rPr>
  </w:style>
  <w:style w:type="character" w:customStyle="1" w:styleId="isbn">
    <w:name w:val="isbn"/>
    <w:basedOn w:val="DefaultParagraphFont"/>
    <w:rsid w:val="00FF007C"/>
  </w:style>
  <w:style w:type="character" w:styleId="Strong">
    <w:name w:val="Strong"/>
    <w:basedOn w:val="DefaultParagraphFont"/>
    <w:uiPriority w:val="22"/>
    <w:qFormat/>
    <w:rsid w:val="00FF007C"/>
    <w:rPr>
      <w:b/>
      <w:bCs/>
    </w:rPr>
  </w:style>
  <w:style w:type="character" w:customStyle="1" w:styleId="Heading3Char">
    <w:name w:val="Heading 3 Char"/>
    <w:basedOn w:val="DefaultParagraphFont"/>
    <w:link w:val="Heading3"/>
    <w:uiPriority w:val="9"/>
    <w:rsid w:val="009A05BE"/>
    <w:rPr>
      <w:rFonts w:eastAsiaTheme="majorEastAsia" w:cstheme="majorBidi"/>
      <w:b/>
      <w:color w:val="000000" w:themeColor="text1"/>
      <w:szCs w:val="24"/>
    </w:rPr>
  </w:style>
  <w:style w:type="character" w:customStyle="1" w:styleId="Heading4Char">
    <w:name w:val="Heading 4 Char"/>
    <w:basedOn w:val="DefaultParagraphFont"/>
    <w:link w:val="Heading4"/>
    <w:uiPriority w:val="9"/>
    <w:rsid w:val="009A05BE"/>
    <w:rPr>
      <w:rFonts w:eastAsiaTheme="majorEastAsia" w:cstheme="majorBidi"/>
      <w:b/>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07691"/>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shorttext">
    <w:name w:val="short_text"/>
    <w:basedOn w:val="DefaultParagraphFont"/>
    <w:rsid w:val="00DA05AE"/>
  </w:style>
  <w:style w:type="character" w:styleId="UnresolvedMention">
    <w:name w:val="Unresolved Mention"/>
    <w:basedOn w:val="DefaultParagraphFont"/>
    <w:uiPriority w:val="99"/>
    <w:semiHidden/>
    <w:unhideWhenUsed/>
    <w:rsid w:val="000A3922"/>
    <w:rPr>
      <w:color w:val="605E5C"/>
      <w:shd w:val="clear" w:color="auto" w:fill="E1DFDD"/>
    </w:rPr>
  </w:style>
  <w:style w:type="character" w:styleId="FollowedHyperlink">
    <w:name w:val="FollowedHyperlink"/>
    <w:basedOn w:val="DefaultParagraphFont"/>
    <w:uiPriority w:val="99"/>
    <w:semiHidden/>
    <w:unhideWhenUsed/>
    <w:rsid w:val="00102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582">
      <w:bodyDiv w:val="1"/>
      <w:marLeft w:val="0"/>
      <w:marRight w:val="0"/>
      <w:marTop w:val="0"/>
      <w:marBottom w:val="0"/>
      <w:divBdr>
        <w:top w:val="none" w:sz="0" w:space="0" w:color="auto"/>
        <w:left w:val="none" w:sz="0" w:space="0" w:color="auto"/>
        <w:bottom w:val="none" w:sz="0" w:space="0" w:color="auto"/>
        <w:right w:val="none" w:sz="0" w:space="0" w:color="auto"/>
      </w:divBdr>
    </w:div>
    <w:div w:id="270862729">
      <w:bodyDiv w:val="1"/>
      <w:marLeft w:val="0"/>
      <w:marRight w:val="0"/>
      <w:marTop w:val="0"/>
      <w:marBottom w:val="0"/>
      <w:divBdr>
        <w:top w:val="none" w:sz="0" w:space="0" w:color="auto"/>
        <w:left w:val="none" w:sz="0" w:space="0" w:color="auto"/>
        <w:bottom w:val="none" w:sz="0" w:space="0" w:color="auto"/>
        <w:right w:val="none" w:sz="0" w:space="0" w:color="auto"/>
      </w:divBdr>
    </w:div>
    <w:div w:id="640503800">
      <w:bodyDiv w:val="1"/>
      <w:marLeft w:val="0"/>
      <w:marRight w:val="0"/>
      <w:marTop w:val="0"/>
      <w:marBottom w:val="0"/>
      <w:divBdr>
        <w:top w:val="none" w:sz="0" w:space="0" w:color="auto"/>
        <w:left w:val="none" w:sz="0" w:space="0" w:color="auto"/>
        <w:bottom w:val="none" w:sz="0" w:space="0" w:color="auto"/>
        <w:right w:val="none" w:sz="0" w:space="0" w:color="auto"/>
      </w:divBdr>
    </w:div>
    <w:div w:id="682823750">
      <w:bodyDiv w:val="1"/>
      <w:marLeft w:val="0"/>
      <w:marRight w:val="0"/>
      <w:marTop w:val="0"/>
      <w:marBottom w:val="0"/>
      <w:divBdr>
        <w:top w:val="none" w:sz="0" w:space="0" w:color="auto"/>
        <w:left w:val="none" w:sz="0" w:space="0" w:color="auto"/>
        <w:bottom w:val="none" w:sz="0" w:space="0" w:color="auto"/>
        <w:right w:val="none" w:sz="0" w:space="0" w:color="auto"/>
      </w:divBdr>
    </w:div>
    <w:div w:id="1203207386">
      <w:bodyDiv w:val="1"/>
      <w:marLeft w:val="0"/>
      <w:marRight w:val="0"/>
      <w:marTop w:val="0"/>
      <w:marBottom w:val="0"/>
      <w:divBdr>
        <w:top w:val="none" w:sz="0" w:space="0" w:color="auto"/>
        <w:left w:val="none" w:sz="0" w:space="0" w:color="auto"/>
        <w:bottom w:val="none" w:sz="0" w:space="0" w:color="auto"/>
        <w:right w:val="none" w:sz="0" w:space="0" w:color="auto"/>
      </w:divBdr>
    </w:div>
    <w:div w:id="1269317316">
      <w:bodyDiv w:val="1"/>
      <w:marLeft w:val="0"/>
      <w:marRight w:val="0"/>
      <w:marTop w:val="0"/>
      <w:marBottom w:val="0"/>
      <w:divBdr>
        <w:top w:val="none" w:sz="0" w:space="0" w:color="auto"/>
        <w:left w:val="none" w:sz="0" w:space="0" w:color="auto"/>
        <w:bottom w:val="none" w:sz="0" w:space="0" w:color="auto"/>
        <w:right w:val="none" w:sz="0" w:space="0" w:color="auto"/>
      </w:divBdr>
    </w:div>
    <w:div w:id="1277328305">
      <w:bodyDiv w:val="1"/>
      <w:marLeft w:val="0"/>
      <w:marRight w:val="0"/>
      <w:marTop w:val="0"/>
      <w:marBottom w:val="0"/>
      <w:divBdr>
        <w:top w:val="none" w:sz="0" w:space="0" w:color="auto"/>
        <w:left w:val="none" w:sz="0" w:space="0" w:color="auto"/>
        <w:bottom w:val="none" w:sz="0" w:space="0" w:color="auto"/>
        <w:right w:val="none" w:sz="0" w:space="0" w:color="auto"/>
      </w:divBdr>
    </w:div>
    <w:div w:id="1331521334">
      <w:bodyDiv w:val="1"/>
      <w:marLeft w:val="0"/>
      <w:marRight w:val="0"/>
      <w:marTop w:val="0"/>
      <w:marBottom w:val="0"/>
      <w:divBdr>
        <w:top w:val="none" w:sz="0" w:space="0" w:color="auto"/>
        <w:left w:val="none" w:sz="0" w:space="0" w:color="auto"/>
        <w:bottom w:val="none" w:sz="0" w:space="0" w:color="auto"/>
        <w:right w:val="none" w:sz="0" w:space="0" w:color="auto"/>
      </w:divBdr>
    </w:div>
    <w:div w:id="1507359854">
      <w:bodyDiv w:val="1"/>
      <w:marLeft w:val="0"/>
      <w:marRight w:val="0"/>
      <w:marTop w:val="0"/>
      <w:marBottom w:val="0"/>
      <w:divBdr>
        <w:top w:val="none" w:sz="0" w:space="0" w:color="auto"/>
        <w:left w:val="none" w:sz="0" w:space="0" w:color="auto"/>
        <w:bottom w:val="none" w:sz="0" w:space="0" w:color="auto"/>
        <w:right w:val="none" w:sz="0" w:space="0" w:color="auto"/>
      </w:divBdr>
    </w:div>
    <w:div w:id="1603341938">
      <w:bodyDiv w:val="1"/>
      <w:marLeft w:val="0"/>
      <w:marRight w:val="0"/>
      <w:marTop w:val="0"/>
      <w:marBottom w:val="0"/>
      <w:divBdr>
        <w:top w:val="none" w:sz="0" w:space="0" w:color="auto"/>
        <w:left w:val="none" w:sz="0" w:space="0" w:color="auto"/>
        <w:bottom w:val="none" w:sz="0" w:space="0" w:color="auto"/>
        <w:right w:val="none" w:sz="0" w:space="0" w:color="auto"/>
      </w:divBdr>
    </w:div>
    <w:div w:id="1687176850">
      <w:bodyDiv w:val="1"/>
      <w:marLeft w:val="0"/>
      <w:marRight w:val="0"/>
      <w:marTop w:val="0"/>
      <w:marBottom w:val="0"/>
      <w:divBdr>
        <w:top w:val="none" w:sz="0" w:space="0" w:color="auto"/>
        <w:left w:val="none" w:sz="0" w:space="0" w:color="auto"/>
        <w:bottom w:val="none" w:sz="0" w:space="0" w:color="auto"/>
        <w:right w:val="none" w:sz="0" w:space="0" w:color="auto"/>
      </w:divBdr>
    </w:div>
    <w:div w:id="1798261359">
      <w:bodyDiv w:val="1"/>
      <w:marLeft w:val="0"/>
      <w:marRight w:val="0"/>
      <w:marTop w:val="0"/>
      <w:marBottom w:val="0"/>
      <w:divBdr>
        <w:top w:val="none" w:sz="0" w:space="0" w:color="auto"/>
        <w:left w:val="none" w:sz="0" w:space="0" w:color="auto"/>
        <w:bottom w:val="none" w:sz="0" w:space="0" w:color="auto"/>
        <w:right w:val="none" w:sz="0" w:space="0" w:color="auto"/>
      </w:divBdr>
    </w:div>
    <w:div w:id="192938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png"/><Relationship Id="rId26" Type="http://schemas.openxmlformats.org/officeDocument/2006/relationships/hyperlink" Target="about:blan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7765/9781526119742.00017" TargetMode="External"/><Relationship Id="rId34" Type="http://schemas.openxmlformats.org/officeDocument/2006/relationships/hyperlink" Target="https://doi.org/10.1177%2F08854120022092700" TargetMode="External"/><Relationship Id="rId7"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about:blank" TargetMode="External"/><Relationship Id="rId33" Type="http://schemas.openxmlformats.org/officeDocument/2006/relationships/hyperlink" Target="https://doi.org/10.1186/s40410-017-0067-z" TargetMode="External"/><Relationship Id="rId38" Type="http://schemas.openxmlformats.org/officeDocument/2006/relationships/hyperlink" Target="https://doi.org/10.1016/j.apgeog.2014.12.001"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i.org/10.1177%2F00139165022388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hyperlink" Target="https://doi.org/10.1017/CHOL9780521223577.007" TargetMode="External"/><Relationship Id="rId32" Type="http://schemas.openxmlformats.org/officeDocument/2006/relationships/hyperlink" Target="https://doi.org/10.1177%2F0042098014553553" TargetMode="External"/><Relationship Id="rId37" Type="http://schemas.openxmlformats.org/officeDocument/2006/relationships/hyperlink" Target="https://doi.org/10.2307/2194862" TargetMode="External"/><Relationship Id="rId40"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https://doi.org/10.1068%2Fb200029" TargetMode="External"/><Relationship Id="rId28" Type="http://schemas.openxmlformats.org/officeDocument/2006/relationships/hyperlink" Target="http://128.40.150.106/joss/index.php/joss/article/view/280/pdf_24" TargetMode="External"/><Relationship Id="rId36" Type="http://schemas.openxmlformats.org/officeDocument/2006/relationships/hyperlink" Target="https://doi.org/10.2307/3632911" TargetMode="External"/><Relationship Id="rId10" Type="http://schemas.openxmlformats.org/officeDocument/2006/relationships/image" Target="media/image1.jpg"/><Relationship Id="rId19" Type="http://schemas.openxmlformats.org/officeDocument/2006/relationships/image" Target="media/image5.png"/><Relationship Id="rId31" Type="http://schemas.openxmlformats.org/officeDocument/2006/relationships/hyperlink" Target="https://doi.org/10.1068%2Fb4425" TargetMode="Externa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yperlink" Target="https://doi.org/10.1068%2Fb140363" TargetMode="External"/><Relationship Id="rId27" Type="http://schemas.openxmlformats.org/officeDocument/2006/relationships/hyperlink" Target="http://www.wanfangdata.com.cn/details/detail.do?_type=perio&amp;id=jzywh201206016" TargetMode="External"/><Relationship Id="rId30" Type="http://schemas.openxmlformats.org/officeDocument/2006/relationships/hyperlink" Target="https://doi.org/10.3828/idpr.2016.6" TargetMode="External"/><Relationship Id="rId35" Type="http://schemas.openxmlformats.org/officeDocument/2006/relationships/hyperlink" Target="https://doi.org/10.2307/3632911"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acharya.ac.in/events/asd/aidc-2026/inde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0T10:19:06.539"/>
    </inkml:context>
    <inkml:brush xml:id="br0">
      <inkml:brushProperty name="width" value="0.05" units="cm"/>
      <inkml:brushProperty name="height" value="0.05" units="cm"/>
      <inkml:brushProperty name="ignorePressure" value="1"/>
    </inkml:brush>
  </inkml:definitions>
  <inkml:trace contextRef="#ctx0" brushRef="#br0">1 1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5+dwiHF0443CeAQ6FXFGTO0fag==">AMUW2mUvjLxnyP70CRinsA6m5xyHNE2PKDjsdfm9R5oC7EaYJwjxf8J/mybaVxmxsUBz/3x6lLEhD1i5Hb1vQ6ZHMy79XeGavuhB7u+h7UMoWz9ksl9DTAidSnfsKhlvbe/kjEEoHgYk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12869</Words>
  <Characters>73354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sastry munagala</cp:lastModifiedBy>
  <cp:revision>5</cp:revision>
  <cp:lastPrinted>2023-11-25T19:39:00Z</cp:lastPrinted>
  <dcterms:created xsi:type="dcterms:W3CDTF">2025-03-10T11:49:00Z</dcterms:created>
  <dcterms:modified xsi:type="dcterms:W3CDTF">2026-02-27T09:24:00Z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039a360ccd3f41a10155bff4d77a89edc92d0010c1a2fea7c44fff4d4485c079</vt:lpwstr>
  </property>
</Properties>
</file>